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0B9D" w14:textId="598A42D2" w:rsidR="00465082" w:rsidRDefault="00465082" w:rsidP="00465082">
      <w:pPr>
        <w:jc w:val="center"/>
        <w:rPr>
          <w:b/>
          <w:sz w:val="18"/>
          <w:szCs w:val="18"/>
        </w:rPr>
      </w:pPr>
      <w:r>
        <w:rPr>
          <w:noProof/>
          <w:lang w:eastAsia="ko-KR"/>
        </w:rPr>
        <w:drawing>
          <wp:inline distT="0" distB="0" distL="0" distR="0" wp14:anchorId="393A3307" wp14:editId="283265E8">
            <wp:extent cx="1168841" cy="1024574"/>
            <wp:effectExtent l="0" t="0" r="0" b="4445"/>
            <wp:docPr id="766930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3002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247" cy="1032819"/>
                    </a:xfrm>
                    <a:prstGeom prst="rect">
                      <a:avLst/>
                    </a:prstGeom>
                    <a:noFill/>
                    <a:ln>
                      <a:noFill/>
                    </a:ln>
                  </pic:spPr>
                </pic:pic>
              </a:graphicData>
            </a:graphic>
          </wp:inline>
        </w:drawing>
      </w:r>
    </w:p>
    <w:p w14:paraId="70006591" w14:textId="77777777" w:rsidR="00465082" w:rsidRDefault="00465082" w:rsidP="00465082">
      <w:pPr>
        <w:rPr>
          <w:b/>
          <w:sz w:val="18"/>
          <w:szCs w:val="18"/>
        </w:rPr>
      </w:pPr>
    </w:p>
    <w:p w14:paraId="5A455C38" w14:textId="77777777" w:rsidR="00465082" w:rsidRPr="00D75384" w:rsidRDefault="00465082" w:rsidP="00465082">
      <w:pPr>
        <w:rPr>
          <w:b/>
          <w:sz w:val="18"/>
          <w:szCs w:val="18"/>
        </w:rPr>
      </w:pPr>
      <w:r w:rsidRPr="00D75384">
        <w:rPr>
          <w:b/>
          <w:sz w:val="18"/>
          <w:szCs w:val="18"/>
        </w:rPr>
        <w:t>Interwork Institute</w:t>
      </w:r>
    </w:p>
    <w:p w14:paraId="31EFA397" w14:textId="77777777" w:rsidR="00465082" w:rsidRPr="00D75384" w:rsidRDefault="00465082" w:rsidP="00465082">
      <w:pPr>
        <w:pStyle w:val="Heading2"/>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San Diego State University</w:t>
      </w:r>
    </w:p>
    <w:p w14:paraId="5163AA20" w14:textId="77777777" w:rsidR="00465082" w:rsidRDefault="00465082" w:rsidP="00465082">
      <w:pPr>
        <w:spacing w:line="180" w:lineRule="exact"/>
        <w:jc w:val="both"/>
        <w:rPr>
          <w:rFonts w:ascii="Palatino Linotype" w:hAnsi="Palatino Linotype"/>
          <w:sz w:val="15"/>
          <w:szCs w:val="15"/>
        </w:rPr>
      </w:pPr>
      <w:r>
        <w:rPr>
          <w:rFonts w:ascii="Palatino Linotype" w:hAnsi="Palatino Linotype"/>
          <w:sz w:val="15"/>
          <w:szCs w:val="15"/>
        </w:rPr>
        <w:t>6367 Alvarado Court, Suite 350</w:t>
      </w:r>
    </w:p>
    <w:p w14:paraId="77827865" w14:textId="77777777" w:rsidR="00465082" w:rsidRDefault="00465082" w:rsidP="00465082">
      <w:pPr>
        <w:spacing w:line="180" w:lineRule="exact"/>
        <w:jc w:val="both"/>
        <w:rPr>
          <w:rFonts w:ascii="Palatino Linotype" w:hAnsi="Palatino Linotype"/>
          <w:sz w:val="15"/>
          <w:szCs w:val="15"/>
        </w:rPr>
      </w:pPr>
      <w:r>
        <w:rPr>
          <w:rFonts w:ascii="Palatino Linotype" w:hAnsi="Palatino Linotype"/>
          <w:sz w:val="15"/>
          <w:szCs w:val="15"/>
        </w:rPr>
        <w:t>San Diego CA  92120</w:t>
      </w:r>
    </w:p>
    <w:p w14:paraId="6351B4AC" w14:textId="77777777" w:rsidR="00465082" w:rsidRDefault="00465082" w:rsidP="00465082">
      <w:pPr>
        <w:pStyle w:val="Heading3"/>
        <w:tabs>
          <w:tab w:val="left" w:pos="540"/>
        </w:tabs>
        <w:spacing w:line="180" w:lineRule="exact"/>
        <w:rPr>
          <w:rFonts w:ascii="Palatino Linotype" w:hAnsi="Palatino Linotype"/>
          <w:b w:val="0"/>
          <w:sz w:val="15"/>
          <w:szCs w:val="15"/>
        </w:rPr>
      </w:pPr>
      <w:r w:rsidRPr="00D75384">
        <w:rPr>
          <w:rFonts w:ascii="Palatino Linotype" w:hAnsi="Palatino Linotype"/>
          <w:b w:val="0"/>
          <w:sz w:val="15"/>
          <w:szCs w:val="15"/>
        </w:rPr>
        <w:t xml:space="preserve">VOICE: 619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w:t>
      </w:r>
      <w:r w:rsidRPr="00D75384">
        <w:rPr>
          <w:rFonts w:ascii="Palatino Linotype" w:hAnsi="Palatino Linotype"/>
          <w:b w:val="0"/>
          <w:bCs w:val="0"/>
          <w:sz w:val="15"/>
          <w:szCs w:val="15"/>
        </w:rPr>
        <w:t>594</w:t>
      </w:r>
      <w:r w:rsidRPr="00D75384">
        <w:rPr>
          <w:rFonts w:ascii="Palatino Linotype" w:hAnsi="Palatino Linotype"/>
          <w:b w:val="0"/>
          <w:sz w:val="15"/>
          <w:szCs w:val="15"/>
        </w:rPr>
        <w:t xml:space="preserve">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2462</w:t>
      </w:r>
    </w:p>
    <w:p w14:paraId="508D1F99" w14:textId="77777777" w:rsidR="00465082" w:rsidRDefault="00465082" w:rsidP="00465082">
      <w:pPr>
        <w:pStyle w:val="Heading3"/>
        <w:tabs>
          <w:tab w:val="left" w:pos="540"/>
        </w:tabs>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 xml:space="preserve">FAX: </w:t>
      </w:r>
      <w:r>
        <w:rPr>
          <w:rFonts w:ascii="Palatino Linotype" w:hAnsi="Palatino Linotype"/>
          <w:b w:val="0"/>
          <w:bCs w:val="0"/>
          <w:sz w:val="15"/>
          <w:szCs w:val="15"/>
        </w:rPr>
        <w:tab/>
      </w:r>
      <w:r w:rsidRPr="00D75384">
        <w:rPr>
          <w:rFonts w:ascii="Palatino Linotype" w:hAnsi="Palatino Linotype"/>
          <w:b w:val="0"/>
          <w:bCs w:val="0"/>
          <w:sz w:val="15"/>
          <w:szCs w:val="15"/>
        </w:rPr>
        <w:t xml:space="preserve">619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594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w:t>
      </w:r>
      <w:r>
        <w:rPr>
          <w:rFonts w:ascii="Palatino Linotype" w:hAnsi="Palatino Linotype"/>
          <w:b w:val="0"/>
          <w:bCs w:val="0"/>
          <w:sz w:val="15"/>
          <w:szCs w:val="15"/>
        </w:rPr>
        <w:t>4208</w:t>
      </w:r>
    </w:p>
    <w:p w14:paraId="510206C0" w14:textId="77777777" w:rsidR="00465082" w:rsidRDefault="00465082" w:rsidP="00465082">
      <w:pPr>
        <w:spacing w:line="180" w:lineRule="exact"/>
        <w:jc w:val="both"/>
        <w:rPr>
          <w:rFonts w:ascii="Palatino Linotype" w:hAnsi="Palatino Linotype"/>
          <w:sz w:val="15"/>
          <w:szCs w:val="15"/>
        </w:rPr>
      </w:pPr>
      <w:r>
        <w:rPr>
          <w:rFonts w:ascii="Palatino Linotype" w:hAnsi="Palatino Linotype"/>
          <w:sz w:val="15"/>
          <w:szCs w:val="15"/>
        </w:rPr>
        <w:t>http://interwork.sdsu.edu/</w:t>
      </w:r>
    </w:p>
    <w:p w14:paraId="22FC2B1B" w14:textId="77777777" w:rsidR="00CB5150" w:rsidRDefault="00CB5150"/>
    <w:p w14:paraId="3F0E7AC2" w14:textId="77777777" w:rsidR="00CB5150" w:rsidRDefault="00CB5150"/>
    <w:p w14:paraId="04C2F59B" w14:textId="77777777" w:rsidR="007D3EAE" w:rsidRPr="002F3756" w:rsidRDefault="007D3EAE" w:rsidP="007D3EAE">
      <w:pPr>
        <w:jc w:val="center"/>
        <w:rPr>
          <w:b/>
          <w:bCs/>
        </w:rPr>
      </w:pPr>
      <w:bookmarkStart w:id="0" w:name="_Hlk152483838"/>
      <w:r w:rsidRPr="002F3756">
        <w:rPr>
          <w:b/>
          <w:bCs/>
        </w:rPr>
        <w:t>A Decade of Reflection: Enhancing Pre-Employment Transition Services</w:t>
      </w:r>
    </w:p>
    <w:p w14:paraId="4654FA53" w14:textId="5D3A1D54" w:rsidR="007D3EAE" w:rsidRPr="002F3756" w:rsidRDefault="007D3EAE" w:rsidP="007D3EAE">
      <w:pPr>
        <w:jc w:val="center"/>
        <w:rPr>
          <w:b/>
          <w:bCs/>
        </w:rPr>
      </w:pPr>
    </w:p>
    <w:p w14:paraId="451412C6" w14:textId="77777777" w:rsidR="007D3EAE" w:rsidRPr="007D3EAE" w:rsidRDefault="007D3EAE" w:rsidP="007D3EAE">
      <w:pPr>
        <w:rPr>
          <w:i/>
          <w:iCs/>
        </w:rPr>
      </w:pPr>
      <w:r w:rsidRPr="007D3EAE">
        <w:rPr>
          <w:i/>
          <w:iCs/>
        </w:rPr>
        <w:t>Authors</w:t>
      </w:r>
    </w:p>
    <w:p w14:paraId="2E2120DB" w14:textId="77777777" w:rsidR="007D3EAE" w:rsidRPr="007D3EAE" w:rsidRDefault="007D3EAE" w:rsidP="007D3EAE">
      <w:pPr>
        <w:spacing w:line="360" w:lineRule="auto"/>
        <w:ind w:firstLine="720"/>
        <w:jc w:val="both"/>
        <w:rPr>
          <w:i/>
          <w:iCs/>
        </w:rPr>
      </w:pPr>
      <w:r w:rsidRPr="007D3EAE">
        <w:rPr>
          <w:i/>
          <w:iCs/>
        </w:rPr>
        <w:t>Donna Bonessi, Director Employment Services and Special Programs, VA</w:t>
      </w:r>
    </w:p>
    <w:p w14:paraId="47F62CC0" w14:textId="77777777" w:rsidR="007D3EAE" w:rsidRPr="007D3EAE" w:rsidRDefault="007D3EAE" w:rsidP="007D3EAE">
      <w:pPr>
        <w:spacing w:line="360" w:lineRule="auto"/>
        <w:ind w:firstLine="720"/>
        <w:jc w:val="both"/>
        <w:rPr>
          <w:i/>
          <w:iCs/>
        </w:rPr>
      </w:pPr>
      <w:r w:rsidRPr="007D3EAE">
        <w:rPr>
          <w:i/>
          <w:iCs/>
        </w:rPr>
        <w:t>Rudy Grano, Field Operations Director, NM</w:t>
      </w:r>
    </w:p>
    <w:p w14:paraId="4A1FAE9F" w14:textId="77777777" w:rsidR="007D3EAE" w:rsidRPr="007D3EAE" w:rsidRDefault="007D3EAE" w:rsidP="007D3EAE">
      <w:pPr>
        <w:spacing w:line="360" w:lineRule="auto"/>
        <w:ind w:firstLine="720"/>
        <w:jc w:val="both"/>
        <w:rPr>
          <w:i/>
          <w:iCs/>
        </w:rPr>
      </w:pPr>
      <w:r w:rsidRPr="007D3EAE">
        <w:rPr>
          <w:i/>
          <w:iCs/>
        </w:rPr>
        <w:t>Tim Kelly, Program Income and Ticket to Work Specialist, MD</w:t>
      </w:r>
    </w:p>
    <w:p w14:paraId="3C7AE0AE" w14:textId="77777777" w:rsidR="007D3EAE" w:rsidRPr="007D3EAE" w:rsidRDefault="007D3EAE" w:rsidP="007D3EAE">
      <w:pPr>
        <w:spacing w:line="360" w:lineRule="auto"/>
        <w:ind w:firstLine="720"/>
        <w:jc w:val="both"/>
        <w:rPr>
          <w:i/>
          <w:iCs/>
        </w:rPr>
      </w:pPr>
      <w:r w:rsidRPr="007D3EAE">
        <w:rPr>
          <w:i/>
          <w:iCs/>
        </w:rPr>
        <w:t>Della Randolph, Regional Director, CA</w:t>
      </w:r>
    </w:p>
    <w:bookmarkEnd w:id="0"/>
    <w:p w14:paraId="510A41A9" w14:textId="77777777" w:rsidR="007D3EAE" w:rsidRPr="00E52EC7" w:rsidRDefault="007D3EAE" w:rsidP="007D3EAE">
      <w:pPr>
        <w:jc w:val="center"/>
        <w:rPr>
          <w:b/>
          <w:bCs/>
        </w:rPr>
      </w:pPr>
      <w:r w:rsidRPr="00E52EC7">
        <w:rPr>
          <w:b/>
          <w:bCs/>
        </w:rPr>
        <w:t>Pre-</w:t>
      </w:r>
      <w:r>
        <w:rPr>
          <w:b/>
          <w:bCs/>
        </w:rPr>
        <w:t xml:space="preserve">ETS: </w:t>
      </w:r>
      <w:r w:rsidRPr="00E52EC7">
        <w:rPr>
          <w:b/>
          <w:bCs/>
        </w:rPr>
        <w:t>Origin</w:t>
      </w:r>
      <w:r>
        <w:rPr>
          <w:b/>
          <w:bCs/>
        </w:rPr>
        <w:t>,</w:t>
      </w:r>
      <w:r w:rsidRPr="00E52EC7">
        <w:rPr>
          <w:b/>
          <w:bCs/>
        </w:rPr>
        <w:t xml:space="preserve"> Issues</w:t>
      </w:r>
      <w:r>
        <w:rPr>
          <w:b/>
          <w:bCs/>
        </w:rPr>
        <w:t>, and Next Steps</w:t>
      </w:r>
    </w:p>
    <w:p w14:paraId="1185D10E" w14:textId="77777777" w:rsidR="007D3EAE" w:rsidRDefault="007D3EAE" w:rsidP="007D3EAE">
      <w:pPr>
        <w:ind w:firstLine="720"/>
      </w:pPr>
      <w:r w:rsidRPr="002F3756">
        <w:t xml:space="preserve">In 2014, President Obama enacted the Workforce Opportunity Innovation Act (WIOA), a multifaceted legislation </w:t>
      </w:r>
      <w:r>
        <w:t>emphasizing</w:t>
      </w:r>
      <w:r w:rsidRPr="002F3756">
        <w:t xml:space="preserve"> students with disabilities. </w:t>
      </w:r>
      <w:r>
        <w:t xml:space="preserve">The Act included multiple components, for example, </w:t>
      </w:r>
      <w:r w:rsidRPr="002F3756">
        <w:t>Competitive Integrated Employment</w:t>
      </w:r>
      <w:r>
        <w:t xml:space="preserve">, </w:t>
      </w:r>
      <w:r w:rsidRPr="002F3756">
        <w:t xml:space="preserve">Business Engagement, </w:t>
      </w:r>
      <w:r>
        <w:t xml:space="preserve">and </w:t>
      </w:r>
      <w:r w:rsidRPr="002F3756">
        <w:t>Pre-Employment Transition Services (Pre-ETS)</w:t>
      </w:r>
      <w:r>
        <w:t>. Pre-ETS was included</w:t>
      </w:r>
      <w:r w:rsidRPr="002F3756">
        <w:t xml:space="preserve"> as a pivotal mechanism for facilitating the success of </w:t>
      </w:r>
      <w:r>
        <w:t>youth</w:t>
      </w:r>
      <w:r w:rsidRPr="002F3756">
        <w:t xml:space="preserve"> with disabilities</w:t>
      </w:r>
      <w:r>
        <w:t xml:space="preserve"> (YWD)</w:t>
      </w:r>
      <w:r w:rsidRPr="002F3756">
        <w:t xml:space="preserve">. The </w:t>
      </w:r>
      <w:r>
        <w:t xml:space="preserve">Act </w:t>
      </w:r>
      <w:r w:rsidRPr="002F3756">
        <w:t xml:space="preserve">identified critical services within </w:t>
      </w:r>
      <w:proofErr w:type="gramStart"/>
      <w:r w:rsidRPr="002F3756">
        <w:t>Pre-ETS</w:t>
      </w:r>
      <w:proofErr w:type="gramEnd"/>
      <w:r w:rsidRPr="002F3756">
        <w:t xml:space="preserve"> includ</w:t>
      </w:r>
      <w:r>
        <w:t>ing</w:t>
      </w:r>
      <w:r w:rsidRPr="002F3756">
        <w:t xml:space="preserve"> </w:t>
      </w:r>
      <w:r>
        <w:t>j</w:t>
      </w:r>
      <w:r w:rsidRPr="002F3756">
        <w:t xml:space="preserve">ob </w:t>
      </w:r>
      <w:r>
        <w:t>e</w:t>
      </w:r>
      <w:r w:rsidRPr="002F3756">
        <w:t xml:space="preserve">xploration, </w:t>
      </w:r>
      <w:r>
        <w:t>w</w:t>
      </w:r>
      <w:r w:rsidRPr="002F3756">
        <w:t>ork-</w:t>
      </w:r>
      <w:r>
        <w:t>b</w:t>
      </w:r>
      <w:r w:rsidRPr="002F3756">
        <w:t xml:space="preserve">ased </w:t>
      </w:r>
      <w:r>
        <w:t>l</w:t>
      </w:r>
      <w:r w:rsidRPr="002F3756">
        <w:t xml:space="preserve">earning </w:t>
      </w:r>
      <w:r>
        <w:t>e</w:t>
      </w:r>
      <w:r w:rsidRPr="002F3756">
        <w:t xml:space="preserve">xperiences, </w:t>
      </w:r>
      <w:r>
        <w:t>c</w:t>
      </w:r>
      <w:r w:rsidRPr="002F3756">
        <w:t xml:space="preserve">ounseling on </w:t>
      </w:r>
      <w:r>
        <w:t>p</w:t>
      </w:r>
      <w:r w:rsidRPr="002F3756">
        <w:t>ost-</w:t>
      </w:r>
      <w:r>
        <w:t>s</w:t>
      </w:r>
      <w:r w:rsidRPr="002F3756">
        <w:t xml:space="preserve">econdary </w:t>
      </w:r>
      <w:r>
        <w:t>e</w:t>
      </w:r>
      <w:r w:rsidRPr="002F3756">
        <w:t xml:space="preserve">ducation, </w:t>
      </w:r>
      <w:r>
        <w:t>w</w:t>
      </w:r>
      <w:r w:rsidRPr="002F3756">
        <w:t xml:space="preserve">orkplace </w:t>
      </w:r>
      <w:r>
        <w:t>r</w:t>
      </w:r>
      <w:r w:rsidRPr="002F3756">
        <w:t xml:space="preserve">eadiness </w:t>
      </w:r>
      <w:r>
        <w:t>t</w:t>
      </w:r>
      <w:r w:rsidRPr="002F3756">
        <w:t xml:space="preserve">raining, and </w:t>
      </w:r>
      <w:r>
        <w:t>i</w:t>
      </w:r>
      <w:r w:rsidRPr="002F3756">
        <w:t xml:space="preserve">nstruction in </w:t>
      </w:r>
      <w:r>
        <w:t>a</w:t>
      </w:r>
      <w:r w:rsidRPr="002F3756">
        <w:t>dvocacy, all aimed at supporting youth from an early age.</w:t>
      </w:r>
    </w:p>
    <w:p w14:paraId="55B1C5B3" w14:textId="77777777" w:rsidR="007D3EAE" w:rsidRDefault="007D3EAE" w:rsidP="007D3EAE">
      <w:pPr>
        <w:ind w:firstLine="720"/>
      </w:pPr>
      <w:r w:rsidRPr="001810E0">
        <w:t>Senator Tom Harkin (Iowa</w:t>
      </w:r>
      <w:r>
        <w:t xml:space="preserve">, </w:t>
      </w:r>
      <w:r w:rsidRPr="001810E0">
        <w:t xml:space="preserve">retired), a champion of WIOA and specifically </w:t>
      </w:r>
      <w:proofErr w:type="gramStart"/>
      <w:r w:rsidRPr="001810E0">
        <w:t>Pre</w:t>
      </w:r>
      <w:r>
        <w:t>-</w:t>
      </w:r>
      <w:r w:rsidRPr="001810E0">
        <w:t>ETS</w:t>
      </w:r>
      <w:proofErr w:type="gramEnd"/>
      <w:r w:rsidRPr="001810E0">
        <w:t xml:space="preserve">, </w:t>
      </w:r>
      <w:r>
        <w:t>emphasizes that the intent behind Pre-ETS was to address a service gap occurring at the intersection of vocational rehabilitation (VR), individualized employment programs (IEP), and the Individuals with Disabilities Education Act (IDEA).</w:t>
      </w:r>
      <w:r w:rsidRPr="001810E0">
        <w:t xml:space="preserve"> It </w:t>
      </w:r>
      <w:r>
        <w:t>became apparent</w:t>
      </w:r>
      <w:r w:rsidRPr="001810E0">
        <w:t xml:space="preserve"> that </w:t>
      </w:r>
      <w:r>
        <w:t>YWD</w:t>
      </w:r>
      <w:r w:rsidRPr="001810E0">
        <w:t xml:space="preserve"> </w:t>
      </w:r>
      <w:r>
        <w:t>with</w:t>
      </w:r>
      <w:r w:rsidRPr="001810E0">
        <w:t xml:space="preserve"> IEPs </w:t>
      </w:r>
      <w:r>
        <w:t>were not</w:t>
      </w:r>
      <w:r w:rsidRPr="001810E0">
        <w:t xml:space="preserve"> getting summer jobs or jobs after school or during breaks. Sen</w:t>
      </w:r>
      <w:r>
        <w:t>ator</w:t>
      </w:r>
      <w:r w:rsidRPr="001810E0">
        <w:t xml:space="preserve"> Harkin reflected upon his summer jobs and work opportunities during </w:t>
      </w:r>
      <w:r>
        <w:t>his school-age years by sharing, “</w:t>
      </w:r>
      <w:r w:rsidRPr="001810E0">
        <w:t>When I was in school, I got a job at the post office during breaks.” </w:t>
      </w:r>
    </w:p>
    <w:p w14:paraId="1FFA4609" w14:textId="77777777" w:rsidR="007D3EAE" w:rsidRPr="001810E0" w:rsidRDefault="007D3EAE" w:rsidP="007D3EAE">
      <w:pPr>
        <w:ind w:firstLine="720"/>
      </w:pPr>
      <w:r w:rsidRPr="001810E0">
        <w:t xml:space="preserve">The Senator also noted that once </w:t>
      </w:r>
      <w:r>
        <w:t>YWD</w:t>
      </w:r>
      <w:r w:rsidRPr="001810E0">
        <w:t xml:space="preserve"> finished their IEP, they </w:t>
      </w:r>
      <w:r>
        <w:t>did not receive the same exposure to work or other opportunities as compared to high school students without a disability.</w:t>
      </w:r>
      <w:r w:rsidRPr="001810E0">
        <w:t xml:space="preserve"> </w:t>
      </w:r>
      <w:r>
        <w:t xml:space="preserve">He stated, </w:t>
      </w:r>
      <w:r w:rsidRPr="001810E0">
        <w:t>“This (WIOA) is a perfect place for VR to set up a structure so that kids would get work experience during the time in their IEPs.” Sen</w:t>
      </w:r>
      <w:r>
        <w:t>ator</w:t>
      </w:r>
      <w:r w:rsidRPr="001810E0">
        <w:t xml:space="preserve"> Harkin also added </w:t>
      </w:r>
      <w:r>
        <w:t xml:space="preserve">that lack of work opportunities during the IEP was contributing to poor outcomes after the YWD completed their IEP. For example, YWD would fall off a cliff (i.e., not obtain employment), </w:t>
      </w:r>
      <w:proofErr w:type="gramStart"/>
      <w:r>
        <w:t>end-up</w:t>
      </w:r>
      <w:proofErr w:type="gramEnd"/>
      <w:r>
        <w:t xml:space="preserve"> with subminimum wage employment, and/or obtain a job with no opportunities for growth. He summarizes the intent of </w:t>
      </w:r>
      <w:proofErr w:type="gramStart"/>
      <w:r>
        <w:t>Pre-ETS</w:t>
      </w:r>
      <w:proofErr w:type="gramEnd"/>
      <w:r>
        <w:t xml:space="preserve"> as,</w:t>
      </w:r>
      <w:r w:rsidRPr="001810E0">
        <w:t xml:space="preserve"> “That’s what we were trying to do, to make sure that kids would get that kind of exposure before graduation.”</w:t>
      </w:r>
    </w:p>
    <w:p w14:paraId="5F5D9139" w14:textId="77777777" w:rsidR="007D3EAE" w:rsidRPr="001810E0" w:rsidRDefault="007D3EAE" w:rsidP="007D3EAE">
      <w:pPr>
        <w:ind w:firstLine="720"/>
      </w:pPr>
      <w:r w:rsidRPr="001810E0">
        <w:t xml:space="preserve">When asked about how WIOA reached the goal of 15% of VR funds </w:t>
      </w:r>
      <w:r>
        <w:t xml:space="preserve">being </w:t>
      </w:r>
      <w:r w:rsidRPr="001810E0">
        <w:t>reserved for the provision of Pre-ETS, Sen</w:t>
      </w:r>
      <w:r>
        <w:t>ator</w:t>
      </w:r>
      <w:r w:rsidRPr="001810E0">
        <w:t xml:space="preserve"> Harkin responded, “I wanted it to be higher, closer to 20-25%.” Through negotiations, the senate committee agreed that 15% would be the required reservation. The 15% was as low as Senator Harkin would go during the legislative negotiations. “I absolutely would not go 1% lower,” he confirmed. </w:t>
      </w:r>
    </w:p>
    <w:p w14:paraId="23991C43" w14:textId="77777777" w:rsidR="007D3EAE" w:rsidRDefault="007D3EAE" w:rsidP="007D3EAE">
      <w:pPr>
        <w:ind w:firstLine="720"/>
      </w:pPr>
      <w:r w:rsidRPr="002F3756">
        <w:t xml:space="preserve">Approaching nearly a decade since </w:t>
      </w:r>
      <w:r>
        <w:t>the</w:t>
      </w:r>
      <w:r w:rsidRPr="002F3756">
        <w:t xml:space="preserve"> implementation</w:t>
      </w:r>
      <w:r>
        <w:t xml:space="preserve"> of </w:t>
      </w:r>
      <w:proofErr w:type="gramStart"/>
      <w:r>
        <w:t>Pre-ETS</w:t>
      </w:r>
      <w:proofErr w:type="gramEnd"/>
      <w:r w:rsidRPr="002F3756">
        <w:t>, analyz</w:t>
      </w:r>
      <w:r>
        <w:t>ing</w:t>
      </w:r>
      <w:r w:rsidRPr="002F3756">
        <w:t xml:space="preserve"> whether the deployment of these five services aligns with the intended purpose outlined in the WIOA</w:t>
      </w:r>
      <w:r>
        <w:t xml:space="preserve"> is imperative</w:t>
      </w:r>
      <w:r w:rsidRPr="002F3756">
        <w:t xml:space="preserve">. </w:t>
      </w:r>
      <w:r>
        <w:t xml:space="preserve">The question must be asked, </w:t>
      </w:r>
      <w:r w:rsidRPr="002F3756">
        <w:t>are students and youth with disabilities genuinely benefiting from this service delivery design</w:t>
      </w:r>
      <w:r w:rsidRPr="001810E0">
        <w:t xml:space="preserve">? When asked if </w:t>
      </w:r>
      <w:proofErr w:type="gramStart"/>
      <w:r w:rsidRPr="001810E0">
        <w:t>Pre-ETS</w:t>
      </w:r>
      <w:proofErr w:type="gramEnd"/>
      <w:r w:rsidRPr="001810E0">
        <w:t xml:space="preserve"> met the intended goal, Sen</w:t>
      </w:r>
      <w:r>
        <w:t>ator</w:t>
      </w:r>
      <w:r w:rsidRPr="001810E0">
        <w:t xml:space="preserve"> Harkin responded </w:t>
      </w:r>
      <w:r>
        <w:t xml:space="preserve">that the overall goal has been met, </w:t>
      </w:r>
      <w:r>
        <w:lastRenderedPageBreak/>
        <w:t>but the development differed from what he imagined, including variations in how well some aspects were implemented compared to others.</w:t>
      </w:r>
    </w:p>
    <w:p w14:paraId="43DE070A" w14:textId="77777777" w:rsidR="007D3EAE" w:rsidRDefault="007D3EAE" w:rsidP="007D3EAE">
      <w:pPr>
        <w:ind w:firstLine="720"/>
      </w:pPr>
      <w:r>
        <w:t xml:space="preserve">Assessing the efficacy of </w:t>
      </w:r>
      <w:proofErr w:type="gramStart"/>
      <w:r>
        <w:t>Pre-ETS</w:t>
      </w:r>
      <w:proofErr w:type="gramEnd"/>
      <w:r>
        <w:t xml:space="preserve"> services and their impact on YWD is essential as agencies grapple with allocating funds tied to the 15% set aside. </w:t>
      </w:r>
      <w:r w:rsidRPr="00E81D46">
        <w:t>A crucial aspect of this inquiry is the law's influence on state VR agencies.</w:t>
      </w:r>
      <w:r>
        <w:t xml:space="preserve"> Important questions arise:</w:t>
      </w:r>
    </w:p>
    <w:p w14:paraId="37C0D629" w14:textId="77777777" w:rsidR="007D3EAE" w:rsidRDefault="007D3EAE" w:rsidP="007D3EAE">
      <w:pPr>
        <w:pStyle w:val="ListParagraph"/>
        <w:numPr>
          <w:ilvl w:val="0"/>
          <w:numId w:val="5"/>
        </w:numPr>
        <w:rPr>
          <w:rFonts w:ascii="Times New Roman" w:hAnsi="Times New Roman" w:cs="Times New Roman"/>
          <w:sz w:val="24"/>
          <w:szCs w:val="24"/>
        </w:rPr>
      </w:pPr>
      <w:r w:rsidRPr="00E52EC7">
        <w:rPr>
          <w:rFonts w:ascii="Times New Roman" w:hAnsi="Times New Roman" w:cs="Times New Roman"/>
          <w:sz w:val="24"/>
          <w:szCs w:val="24"/>
        </w:rPr>
        <w:t>Is the predominant focus on meeting the 15% set aside, or are agencies prioritizing delivering quality and individualized services to YWD?</w:t>
      </w:r>
    </w:p>
    <w:p w14:paraId="7BE4C054" w14:textId="77777777" w:rsidR="007D3EAE" w:rsidRDefault="007D3EAE" w:rsidP="007D3EAE">
      <w:pPr>
        <w:pStyle w:val="ListParagraph"/>
        <w:numPr>
          <w:ilvl w:val="0"/>
          <w:numId w:val="5"/>
        </w:numPr>
        <w:rPr>
          <w:rFonts w:ascii="Times New Roman" w:hAnsi="Times New Roman" w:cs="Times New Roman"/>
          <w:sz w:val="24"/>
          <w:szCs w:val="24"/>
        </w:rPr>
      </w:pPr>
      <w:r w:rsidRPr="00E52EC7">
        <w:rPr>
          <w:rFonts w:ascii="Times New Roman" w:hAnsi="Times New Roman" w:cs="Times New Roman"/>
          <w:sz w:val="24"/>
          <w:szCs w:val="24"/>
        </w:rPr>
        <w:t xml:space="preserve">Does the current design of </w:t>
      </w:r>
      <w:proofErr w:type="gramStart"/>
      <w:r w:rsidRPr="00E52EC7">
        <w:rPr>
          <w:rFonts w:ascii="Times New Roman" w:hAnsi="Times New Roman" w:cs="Times New Roman"/>
          <w:sz w:val="24"/>
          <w:szCs w:val="24"/>
        </w:rPr>
        <w:t>Pre-ETS</w:t>
      </w:r>
      <w:proofErr w:type="gramEnd"/>
      <w:r w:rsidRPr="00E52EC7">
        <w:rPr>
          <w:rFonts w:ascii="Times New Roman" w:hAnsi="Times New Roman" w:cs="Times New Roman"/>
          <w:sz w:val="24"/>
          <w:szCs w:val="24"/>
        </w:rPr>
        <w:t xml:space="preserve"> enable agencies to adopt a person-centric approach, focusing on the individual needs of YWD? </w:t>
      </w:r>
    </w:p>
    <w:p w14:paraId="11B343C4" w14:textId="77777777" w:rsidR="007D3EAE" w:rsidRPr="00E52EC7" w:rsidRDefault="007D3EAE" w:rsidP="007D3EAE">
      <w:pPr>
        <w:pStyle w:val="ListParagraph"/>
        <w:numPr>
          <w:ilvl w:val="0"/>
          <w:numId w:val="5"/>
        </w:numPr>
        <w:rPr>
          <w:rFonts w:ascii="Times New Roman" w:hAnsi="Times New Roman" w:cs="Times New Roman"/>
          <w:sz w:val="24"/>
          <w:szCs w:val="24"/>
        </w:rPr>
      </w:pPr>
      <w:r w:rsidRPr="00E52EC7">
        <w:rPr>
          <w:rFonts w:ascii="Times New Roman" w:hAnsi="Times New Roman" w:cs="Times New Roman"/>
          <w:sz w:val="24"/>
          <w:szCs w:val="24"/>
        </w:rPr>
        <w:t>Alternatively, does the law inadvertently steer agencies toward a system-centric emphasis primarily concerned with meeting the 15% set aside?</w:t>
      </w:r>
    </w:p>
    <w:p w14:paraId="253B6363" w14:textId="77777777" w:rsidR="007D3EAE" w:rsidRPr="002F3756" w:rsidRDefault="007D3EAE" w:rsidP="007D3EAE">
      <w:pPr>
        <w:ind w:firstLine="720"/>
      </w:pPr>
      <w:r w:rsidRPr="002F3756">
        <w:t xml:space="preserve">As we conclude nearly a decade since the inception of </w:t>
      </w:r>
      <w:proofErr w:type="gramStart"/>
      <w:r w:rsidRPr="002F3756">
        <w:t>Pre-ETS</w:t>
      </w:r>
      <w:proofErr w:type="gramEnd"/>
      <w:r w:rsidRPr="002F3756">
        <w:t>, it is paramount to evaluate current design and functionality. This reflection is essential in gauging the success and impact of the program on the intended beneficiaries — our youth</w:t>
      </w:r>
      <w:r>
        <w:t xml:space="preserve"> with disabilities</w:t>
      </w:r>
      <w:r w:rsidRPr="002F3756">
        <w:t>.</w:t>
      </w:r>
      <w:r>
        <w:t xml:space="preserve"> Whether </w:t>
      </w:r>
      <w:proofErr w:type="gramStart"/>
      <w:r w:rsidRPr="00E52EC7">
        <w:t>Pre-ETS</w:t>
      </w:r>
      <w:proofErr w:type="gramEnd"/>
      <w:r>
        <w:t xml:space="preserve"> is</w:t>
      </w:r>
      <w:r w:rsidRPr="00E52EC7">
        <w:t xml:space="preserve"> effectively addressing the needs of students as initially intended</w:t>
      </w:r>
      <w:r>
        <w:t xml:space="preserve"> needs to be determined.</w:t>
      </w:r>
    </w:p>
    <w:p w14:paraId="726094BE" w14:textId="77777777" w:rsidR="007D3EAE" w:rsidRPr="00E52EC7" w:rsidRDefault="007D3EAE" w:rsidP="007D3EAE">
      <w:pPr>
        <w:jc w:val="center"/>
        <w:rPr>
          <w:b/>
          <w:bCs/>
        </w:rPr>
      </w:pPr>
      <w:r w:rsidRPr="00E52EC7">
        <w:rPr>
          <w:b/>
          <w:bCs/>
        </w:rPr>
        <w:t xml:space="preserve">Challenges of </w:t>
      </w:r>
      <w:proofErr w:type="gramStart"/>
      <w:r w:rsidRPr="00E52EC7">
        <w:rPr>
          <w:b/>
          <w:bCs/>
        </w:rPr>
        <w:t>Pre-</w:t>
      </w:r>
      <w:r>
        <w:rPr>
          <w:b/>
          <w:bCs/>
        </w:rPr>
        <w:t>ETS</w:t>
      </w:r>
      <w:proofErr w:type="gramEnd"/>
    </w:p>
    <w:p w14:paraId="7E373DAC" w14:textId="77777777" w:rsidR="007D3EAE" w:rsidRPr="00FF2772" w:rsidRDefault="007D3EAE" w:rsidP="007D3EAE">
      <w:r w:rsidRPr="00FF2772">
        <w:rPr>
          <w:b/>
          <w:bCs/>
        </w:rPr>
        <w:t>Complexity and bureaucratic challenges</w:t>
      </w:r>
      <w:r w:rsidRPr="00FF2772">
        <w:t xml:space="preserve"> </w:t>
      </w:r>
    </w:p>
    <w:p w14:paraId="2845EB0B" w14:textId="77777777" w:rsidR="007D3EAE" w:rsidRDefault="007D3EAE" w:rsidP="007D3EAE">
      <w:pPr>
        <w:ind w:firstLine="720"/>
      </w:pPr>
      <w:r>
        <w:t xml:space="preserve">The reliance on the 15% set aside as the sole evaluative component creates complex challenges associated with </w:t>
      </w:r>
      <w:proofErr w:type="gramStart"/>
      <w:r>
        <w:t>Pre-ETS</w:t>
      </w:r>
      <w:proofErr w:type="gramEnd"/>
      <w:r w:rsidRPr="002F3756">
        <w:t>. This narrow focus on expenditures has inadvertently shifted the attention of state agencies away from establishing and maintaining effective and successful services for students with disabilities</w:t>
      </w:r>
      <w:r>
        <w:t xml:space="preserve"> (SWD)</w:t>
      </w:r>
      <w:r w:rsidRPr="002F3756">
        <w:t xml:space="preserve"> and instead </w:t>
      </w:r>
      <w:r>
        <w:t xml:space="preserve">shifts the </w:t>
      </w:r>
      <w:r w:rsidRPr="002F3756">
        <w:t xml:space="preserve">focus </w:t>
      </w:r>
      <w:r>
        <w:t>to</w:t>
      </w:r>
      <w:r w:rsidRPr="002F3756">
        <w:t xml:space="preserve"> finding means to spend the dollars. The current framework encourages states to expend their reserves on a potentially limited number of </w:t>
      </w:r>
      <w:r>
        <w:t>SWD</w:t>
      </w:r>
      <w:r w:rsidRPr="002F3756">
        <w:t xml:space="preserve">, meeting the minimum expectations of the evaluative component rather than promoting a comprehensive and tailored approach. Instead of negotiated performance measures for each of the five required services, the emphasis on the 15% set aside leads to a narrow interpretation of success. Furthermore, the absence of standardized processes and requirements beyond the provision of the mandated five services leaves states with the challenge of independently developing programs for students. </w:t>
      </w:r>
    </w:p>
    <w:p w14:paraId="1D56CCB4" w14:textId="77777777" w:rsidR="007D3EAE" w:rsidRPr="001810E0" w:rsidRDefault="007D3EAE" w:rsidP="007D3EAE">
      <w:pPr>
        <w:ind w:firstLine="720"/>
      </w:pPr>
      <w:r w:rsidRPr="002F3756">
        <w:t xml:space="preserve">The lack of standardized curricula, formal training, and structured approaches contributes to inconsistencies in service delivery across states, hindering the establishment of a cohesive and universally effective </w:t>
      </w:r>
      <w:proofErr w:type="gramStart"/>
      <w:r w:rsidRPr="002F3756">
        <w:t>Pre-ETS</w:t>
      </w:r>
      <w:proofErr w:type="gramEnd"/>
      <w:r w:rsidRPr="002F3756">
        <w:t xml:space="preserve"> framework. Addressing these issues is crucial to ensure that the evaluation and implementation of </w:t>
      </w:r>
      <w:proofErr w:type="gramStart"/>
      <w:r w:rsidRPr="002F3756">
        <w:t>Pre-ETS</w:t>
      </w:r>
      <w:proofErr w:type="gramEnd"/>
      <w:r w:rsidRPr="002F3756">
        <w:t xml:space="preserve"> go beyond mere compliance and genuinely contribute to the holistic development </w:t>
      </w:r>
      <w:r w:rsidRPr="001810E0">
        <w:t xml:space="preserve">and success of </w:t>
      </w:r>
      <w:r>
        <w:t>SWD</w:t>
      </w:r>
      <w:r w:rsidRPr="001810E0">
        <w:t xml:space="preserve"> nationwide. This was something Senator Harkin also alluded to, as the application of </w:t>
      </w:r>
      <w:proofErr w:type="gramStart"/>
      <w:r w:rsidRPr="001810E0">
        <w:t>Pre-ETS</w:t>
      </w:r>
      <w:proofErr w:type="gramEnd"/>
      <w:r w:rsidRPr="001810E0">
        <w:t xml:space="preserve"> varies by state and often can depend on the administration, the director of VR, and different factors such as interpretation of Pre-ETS.</w:t>
      </w:r>
    </w:p>
    <w:p w14:paraId="25F7E8B6" w14:textId="77777777" w:rsidR="007D3EAE" w:rsidRPr="00FF2772" w:rsidRDefault="007D3EAE" w:rsidP="007D3EAE">
      <w:r w:rsidRPr="00FF2772">
        <w:rPr>
          <w:b/>
          <w:bCs/>
        </w:rPr>
        <w:t>Potentially Eligible vs. eligible for VR services</w:t>
      </w:r>
      <w:r w:rsidRPr="00FF2772">
        <w:t xml:space="preserve"> </w:t>
      </w:r>
    </w:p>
    <w:p w14:paraId="32A7675C" w14:textId="77777777" w:rsidR="007D3EAE" w:rsidRDefault="007D3EAE" w:rsidP="007D3EAE">
      <w:pPr>
        <w:ind w:firstLine="720"/>
      </w:pPr>
      <w:r w:rsidRPr="002F3756">
        <w:t xml:space="preserve">States continue to struggle with </w:t>
      </w:r>
      <w:r>
        <w:t xml:space="preserve">students' Potentially Eligible (PE) status </w:t>
      </w:r>
      <w:r w:rsidRPr="002F3756">
        <w:t xml:space="preserve">for </w:t>
      </w:r>
      <w:proofErr w:type="gramStart"/>
      <w:r w:rsidRPr="002F3756">
        <w:t>Pre-ETS</w:t>
      </w:r>
      <w:proofErr w:type="gramEnd"/>
      <w:r w:rsidRPr="002F3756">
        <w:t xml:space="preserve"> services. WIOA emphasizes early services to students in transition. However, </w:t>
      </w:r>
      <w:r>
        <w:t>the Act</w:t>
      </w:r>
      <w:r w:rsidRPr="002F3756">
        <w:t xml:space="preserve"> also changed how VR agencies serve students. This shift included the new status of PE that allows students to receive the five required services without having to apply for and be determined eligible for the VR program. This change in status, while intended to allow more students to receive services quickly</w:t>
      </w:r>
      <w:r>
        <w:t>,</w:t>
      </w:r>
      <w:r w:rsidRPr="002F3756">
        <w:t xml:space="preserve"> with the notion that they would apply for and become eligible for the VR program</w:t>
      </w:r>
      <w:r>
        <w:t>,</w:t>
      </w:r>
      <w:r w:rsidRPr="002F3756">
        <w:t xml:space="preserve"> has created different layers of complexity for states. </w:t>
      </w:r>
    </w:p>
    <w:p w14:paraId="5B34F4B6" w14:textId="77777777" w:rsidR="007D3EAE" w:rsidRPr="002F3756" w:rsidRDefault="007D3EAE" w:rsidP="007D3EAE">
      <w:pPr>
        <w:ind w:firstLine="720"/>
      </w:pPr>
      <w:r w:rsidRPr="002F3756">
        <w:t xml:space="preserve">Matters were further complicated in 2020 with the addition of the VR flexibilities that </w:t>
      </w:r>
      <w:r>
        <w:t>allow</w:t>
      </w:r>
      <w:r w:rsidRPr="002F3756">
        <w:t xml:space="preserve"> states to use a specific set of VR services funded with the </w:t>
      </w:r>
      <w:proofErr w:type="gramStart"/>
      <w:r w:rsidRPr="002F3756">
        <w:t>Pre-ETS</w:t>
      </w:r>
      <w:proofErr w:type="gramEnd"/>
      <w:r w:rsidRPr="002F3756">
        <w:t xml:space="preserve"> reserve to assist students in accessing and participating in Pre-ETS services. This required students receiving services as </w:t>
      </w:r>
      <w:r>
        <w:t>PE clients</w:t>
      </w:r>
      <w:r w:rsidRPr="002F3756">
        <w:t xml:space="preserve"> to apply for and be determined eligible for VR services. </w:t>
      </w:r>
      <w:r>
        <w:t>Transitioning</w:t>
      </w:r>
      <w:r w:rsidRPr="002F3756">
        <w:t xml:space="preserve"> to VR services can be lengthy and delay services while the eligibility determination process is occurring. </w:t>
      </w:r>
      <w:r>
        <w:t>Therefore,</w:t>
      </w:r>
      <w:r w:rsidRPr="002F3756">
        <w:t xml:space="preserve"> a student </w:t>
      </w:r>
      <w:r>
        <w:t xml:space="preserve">is prevented </w:t>
      </w:r>
      <w:r w:rsidRPr="002F3756">
        <w:t xml:space="preserve">from participating in a </w:t>
      </w:r>
      <w:proofErr w:type="gramStart"/>
      <w:r w:rsidRPr="002F3756">
        <w:t>Pre-ETS</w:t>
      </w:r>
      <w:proofErr w:type="gramEnd"/>
      <w:r w:rsidRPr="002F3756">
        <w:t xml:space="preserve"> service. Furthermore, </w:t>
      </w:r>
      <w:r>
        <w:t>suppose a SWD is determined ineligible for VR services. In that case,</w:t>
      </w:r>
      <w:r w:rsidRPr="002F3756">
        <w:t xml:space="preserve"> they can no longer be considered potentially eligible</w:t>
      </w:r>
      <w:r>
        <w:t>, thus eliminating the opportunity to build skills that will lead</w:t>
      </w:r>
      <w:r w:rsidRPr="002F3756">
        <w:t xml:space="preserve"> to career success.</w:t>
      </w:r>
    </w:p>
    <w:p w14:paraId="199CBE1D" w14:textId="77777777" w:rsidR="007D3EAE" w:rsidRPr="002F3756" w:rsidRDefault="007D3EAE" w:rsidP="007D3EAE">
      <w:r>
        <w:t xml:space="preserve">             </w:t>
      </w:r>
      <w:r w:rsidRPr="002F3756">
        <w:t xml:space="preserve">VR agencies cannot require students with disabilities to apply for VR services. However, they are expected to strongly encourage application as early as possible in the transition process to ensure a smooth </w:t>
      </w:r>
      <w:r w:rsidRPr="002F3756">
        <w:lastRenderedPageBreak/>
        <w:t>transition into the VR program. Necessary individualized transition services and other VR services can only be provided to students who have applied and been determined eligible for the VR program and have an approved Individual Plan for Employment (IPE).</w:t>
      </w:r>
    </w:p>
    <w:p w14:paraId="2D3629C4" w14:textId="77777777" w:rsidR="007D3EAE" w:rsidRPr="00FF2772" w:rsidRDefault="007D3EAE" w:rsidP="007D3EAE">
      <w:pPr>
        <w:rPr>
          <w:b/>
          <w:bCs/>
        </w:rPr>
      </w:pPr>
      <w:r w:rsidRPr="00FF2772">
        <w:rPr>
          <w:b/>
          <w:bCs/>
        </w:rPr>
        <w:t xml:space="preserve">Pre-ETS vs. Transition Services </w:t>
      </w:r>
    </w:p>
    <w:p w14:paraId="11ED05C5" w14:textId="77777777" w:rsidR="007D3EAE" w:rsidRPr="002F3756" w:rsidRDefault="007D3EAE" w:rsidP="007D3EAE">
      <w:pPr>
        <w:ind w:firstLine="720"/>
      </w:pPr>
      <w:r w:rsidRPr="002F3756">
        <w:t xml:space="preserve">WIOA limits </w:t>
      </w:r>
      <w:proofErr w:type="gramStart"/>
      <w:r w:rsidRPr="002F3756">
        <w:t>Pre-ETS</w:t>
      </w:r>
      <w:proofErr w:type="gramEnd"/>
      <w:r w:rsidRPr="002F3756">
        <w:t xml:space="preserve"> to the five required and four coordinated services. Limiting </w:t>
      </w:r>
      <w:proofErr w:type="gramStart"/>
      <w:r w:rsidRPr="002F3756">
        <w:t>Pre-ETS</w:t>
      </w:r>
      <w:proofErr w:type="gramEnd"/>
      <w:r w:rsidRPr="002F3756">
        <w:t xml:space="preserve"> to the five required services can </w:t>
      </w:r>
      <w:r>
        <w:t xml:space="preserve">lead states to experience </w:t>
      </w:r>
      <w:r w:rsidRPr="002F3756">
        <w:t>pose challenges</w:t>
      </w:r>
      <w:r>
        <w:t>, which</w:t>
      </w:r>
      <w:r w:rsidRPr="002F3756">
        <w:t xml:space="preserve"> may impact the effectiveness and comprehensiveness of the program. The five required </w:t>
      </w:r>
      <w:proofErr w:type="gramStart"/>
      <w:r w:rsidRPr="002F3756">
        <w:t>Pre-ETS</w:t>
      </w:r>
      <w:proofErr w:type="gramEnd"/>
      <w:r w:rsidRPr="002F3756">
        <w:t xml:space="preserve"> services, as outlined in WIOA, include job exploration counseling, work-based learning experiences, counseling on post-secondary education, workplace readiness training, and instruction in self-advocacy. This results in a narrow focus on early aspects of career preparation. Students with diverse needs and interests benefit from a broader range of services that address individualized goals and aspirations. However, states cannot assist </w:t>
      </w:r>
      <w:r>
        <w:t>students in pursuing</w:t>
      </w:r>
      <w:r w:rsidRPr="002F3756">
        <w:t xml:space="preserve"> specific interests and must limit services to broad career exploration. Once a student has developed a specific career interest</w:t>
      </w:r>
      <w:r>
        <w:t xml:space="preserve">, the student must apply for and become eligible for VR services to </w:t>
      </w:r>
      <w:r w:rsidRPr="002F3756">
        <w:t>pursue additional services, such as college or vocational training, to be successful.</w:t>
      </w:r>
    </w:p>
    <w:p w14:paraId="4D030792" w14:textId="77777777" w:rsidR="007D3EAE" w:rsidRPr="002F3756" w:rsidRDefault="007D3EAE" w:rsidP="007D3EAE">
      <w:pPr>
        <w:ind w:firstLine="720"/>
      </w:pPr>
      <w:r w:rsidRPr="002F3756">
        <w:rPr>
          <w:color w:val="000000"/>
        </w:rPr>
        <w:t>RSA defines Transition Services (§361.5(c)(55)) as “a coordinated set of activities for a student or youth with disabilities designed with an outcome-oriented process that promotes movement from school to post-school activities, including postsecondary education, vocational training, competitive integrated employment, supported employment, continuing and adult education, adult services, independent living, or community participation”</w:t>
      </w:r>
      <w:r>
        <w:rPr>
          <w:color w:val="000000"/>
        </w:rPr>
        <w:t>.</w:t>
      </w:r>
      <w:r w:rsidRPr="002F3756">
        <w:rPr>
          <w:color w:val="000000"/>
        </w:rPr>
        <w:t xml:space="preserve"> </w:t>
      </w:r>
      <w:r w:rsidRPr="002F3756">
        <w:t>WIOA removed this definition</w:t>
      </w:r>
      <w:r>
        <w:t>; however,</w:t>
      </w:r>
      <w:r w:rsidRPr="002F3756">
        <w:t xml:space="preserve"> RSA has continued to use the definition in regulation. This creates a </w:t>
      </w:r>
      <w:r>
        <w:t>problematic</w:t>
      </w:r>
      <w:r w:rsidRPr="002F3756">
        <w:t xml:space="preserve"> situation for VR agencies and counselors when working with </w:t>
      </w:r>
      <w:r>
        <w:t>YWD</w:t>
      </w:r>
      <w:r w:rsidRPr="002F3756">
        <w:t xml:space="preserve"> </w:t>
      </w:r>
      <w:r>
        <w:t>who are unable to receive the same services as their peers simply due to no longer seeing value in</w:t>
      </w:r>
      <w:r w:rsidRPr="002F3756">
        <w:t xml:space="preserve"> the public education system. </w:t>
      </w:r>
    </w:p>
    <w:p w14:paraId="08463DF0" w14:textId="77777777" w:rsidR="007D3EAE" w:rsidRPr="00FF2772" w:rsidRDefault="007D3EAE" w:rsidP="007D3EAE">
      <w:pPr>
        <w:rPr>
          <w:b/>
          <w:bCs/>
        </w:rPr>
      </w:pPr>
      <w:r w:rsidRPr="00FF2772">
        <w:rPr>
          <w:b/>
          <w:bCs/>
        </w:rPr>
        <w:t>Definition of SWD vs. YWD</w:t>
      </w:r>
    </w:p>
    <w:p w14:paraId="09C2E81F" w14:textId="77777777" w:rsidR="007D3EAE" w:rsidRPr="002F3756" w:rsidRDefault="007D3EAE" w:rsidP="007D3EAE">
      <w:pPr>
        <w:ind w:firstLine="720"/>
      </w:pPr>
      <w:r w:rsidRPr="002F3756">
        <w:t xml:space="preserve">The </w:t>
      </w:r>
      <w:r>
        <w:t>d</w:t>
      </w:r>
      <w:r w:rsidRPr="002F3756">
        <w:t xml:space="preserve">efinition of a </w:t>
      </w:r>
      <w:r>
        <w:t>SWD</w:t>
      </w:r>
      <w:r w:rsidRPr="002F3756">
        <w:t xml:space="preserve"> is an individual in an educational program who meets </w:t>
      </w:r>
      <w:r>
        <w:t>specific</w:t>
      </w:r>
      <w:r w:rsidRPr="002F3756">
        <w:t xml:space="preserve"> age requirements and is eligible for and receiving special education or related services under IDEA or </w:t>
      </w:r>
      <w:r>
        <w:t>i</w:t>
      </w:r>
      <w:r w:rsidRPr="002F3756">
        <w:t xml:space="preserve">s an individual with a disability for purposes of section 504 of the Act. WIOA defines the age range requirements of a </w:t>
      </w:r>
      <w:r>
        <w:t>SWD</w:t>
      </w:r>
      <w:r w:rsidRPr="002F3756">
        <w:t xml:space="preserve"> as </w:t>
      </w:r>
      <w:r>
        <w:t xml:space="preserve">1) </w:t>
      </w:r>
      <w:r w:rsidRPr="002F3756">
        <w:t xml:space="preserve">not younger than the earliest age to receive transition services under IDEA; or </w:t>
      </w:r>
      <w:r>
        <w:t>n</w:t>
      </w:r>
      <w:r w:rsidRPr="002F3756">
        <w:t xml:space="preserve">ot younger than the earliest age, if determined by the state as being different, to receive </w:t>
      </w:r>
      <w:r>
        <w:t>Pre-ETS, and 2)</w:t>
      </w:r>
      <w:r w:rsidRPr="002F3756">
        <w:t xml:space="preserve"> </w:t>
      </w:r>
      <w:r>
        <w:t>n</w:t>
      </w:r>
      <w:r w:rsidRPr="002F3756">
        <w:t>ot older than 21 years old or not older than the highest age determined by the state to receive services under IDEA, if older than 21.</w:t>
      </w:r>
    </w:p>
    <w:p w14:paraId="154FAF20" w14:textId="77777777" w:rsidR="007D3EAE" w:rsidRDefault="007D3EAE" w:rsidP="007D3EAE">
      <w:pPr>
        <w:ind w:firstLine="720"/>
        <w:rPr>
          <w:color w:val="000000"/>
        </w:rPr>
      </w:pPr>
      <w:r w:rsidRPr="002F3756">
        <w:t xml:space="preserve">The definition of a </w:t>
      </w:r>
      <w:r>
        <w:t>YWD</w:t>
      </w:r>
      <w:r w:rsidRPr="002F3756">
        <w:t xml:space="preserve"> is an individual with a disability that is between 14 and 24 years of age. </w:t>
      </w:r>
      <w:r w:rsidRPr="002F3756">
        <w:rPr>
          <w:color w:val="000000"/>
        </w:rPr>
        <w:t xml:space="preserve">Typically, all </w:t>
      </w:r>
      <w:r>
        <w:rPr>
          <w:color w:val="000000"/>
        </w:rPr>
        <w:t>SWD</w:t>
      </w:r>
      <w:r w:rsidRPr="002F3756">
        <w:rPr>
          <w:color w:val="000000"/>
        </w:rPr>
        <w:t xml:space="preserve"> </w:t>
      </w:r>
      <w:r>
        <w:rPr>
          <w:color w:val="000000"/>
        </w:rPr>
        <w:t xml:space="preserve">age </w:t>
      </w:r>
      <w:r w:rsidRPr="002F3756">
        <w:rPr>
          <w:color w:val="000000"/>
        </w:rPr>
        <w:t>14</w:t>
      </w:r>
      <w:r>
        <w:rPr>
          <w:color w:val="000000"/>
        </w:rPr>
        <w:t xml:space="preserve"> to </w:t>
      </w:r>
      <w:r w:rsidRPr="002F3756">
        <w:rPr>
          <w:color w:val="000000"/>
        </w:rPr>
        <w:t xml:space="preserve">21 </w:t>
      </w:r>
      <w:r>
        <w:rPr>
          <w:color w:val="000000"/>
        </w:rPr>
        <w:t xml:space="preserve">also </w:t>
      </w:r>
      <w:r w:rsidRPr="002F3756">
        <w:rPr>
          <w:color w:val="000000"/>
        </w:rPr>
        <w:t xml:space="preserve">meet the definition of </w:t>
      </w:r>
      <w:r>
        <w:rPr>
          <w:color w:val="000000"/>
        </w:rPr>
        <w:t>a YWD.</w:t>
      </w:r>
      <w:r w:rsidRPr="002F3756">
        <w:rPr>
          <w:color w:val="000000"/>
        </w:rPr>
        <w:t xml:space="preserve"> However, not all </w:t>
      </w:r>
      <w:r>
        <w:rPr>
          <w:color w:val="000000"/>
        </w:rPr>
        <w:t>YWD</w:t>
      </w:r>
      <w:r w:rsidRPr="002F3756">
        <w:rPr>
          <w:color w:val="000000"/>
        </w:rPr>
        <w:t xml:space="preserve"> meet the definition of </w:t>
      </w:r>
      <w:r>
        <w:rPr>
          <w:color w:val="000000"/>
        </w:rPr>
        <w:t>a SWD</w:t>
      </w:r>
      <w:r w:rsidRPr="002F3756">
        <w:rPr>
          <w:color w:val="000000"/>
        </w:rPr>
        <w:t xml:space="preserve">. WIOA requires VR agencies to distinguish between activities that constitute </w:t>
      </w:r>
      <w:proofErr w:type="gramStart"/>
      <w:r w:rsidRPr="002F3756">
        <w:rPr>
          <w:color w:val="000000"/>
        </w:rPr>
        <w:t>Pre-ETS</w:t>
      </w:r>
      <w:proofErr w:type="gramEnd"/>
      <w:r w:rsidRPr="002F3756">
        <w:rPr>
          <w:color w:val="000000"/>
        </w:rPr>
        <w:t xml:space="preserve"> services versus all other VR services, including more general transition services. General </w:t>
      </w:r>
      <w:r>
        <w:rPr>
          <w:color w:val="000000"/>
        </w:rPr>
        <w:t xml:space="preserve">transition services to YWD in the same age range who are not enrolled in a recognized education agency are not considered </w:t>
      </w:r>
      <w:proofErr w:type="gramStart"/>
      <w:r>
        <w:rPr>
          <w:color w:val="000000"/>
        </w:rPr>
        <w:t>Pre-ETS</w:t>
      </w:r>
      <w:proofErr w:type="gramEnd"/>
      <w:r>
        <w:rPr>
          <w:color w:val="000000"/>
        </w:rPr>
        <w:t xml:space="preserve"> and, therefore,</w:t>
      </w:r>
      <w:r w:rsidRPr="002F3756">
        <w:rPr>
          <w:color w:val="000000"/>
        </w:rPr>
        <w:t xml:space="preserve"> excluded from the 15% reserve.</w:t>
      </w:r>
    </w:p>
    <w:p w14:paraId="2CFE2B81" w14:textId="77777777" w:rsidR="007D3EAE" w:rsidRPr="00927974" w:rsidRDefault="007D3EAE" w:rsidP="007D3EAE">
      <w:pPr>
        <w:rPr>
          <w:b/>
          <w:bCs/>
          <w:color w:val="000000"/>
        </w:rPr>
      </w:pPr>
      <w:r w:rsidRPr="00927974">
        <w:rPr>
          <w:b/>
          <w:bCs/>
          <w:color w:val="000000"/>
        </w:rPr>
        <w:t xml:space="preserve">Pre-ETS services </w:t>
      </w:r>
      <w:proofErr w:type="gramStart"/>
      <w:r w:rsidRPr="00927974">
        <w:rPr>
          <w:b/>
          <w:bCs/>
          <w:color w:val="000000"/>
        </w:rPr>
        <w:t>limited</w:t>
      </w:r>
      <w:proofErr w:type="gramEnd"/>
      <w:r w:rsidRPr="00927974">
        <w:rPr>
          <w:b/>
          <w:bCs/>
          <w:color w:val="000000"/>
        </w:rPr>
        <w:t xml:space="preserve"> to SWD.</w:t>
      </w:r>
    </w:p>
    <w:p w14:paraId="2DD7B547" w14:textId="77777777" w:rsidR="007D3EAE" w:rsidRPr="002F3756" w:rsidRDefault="007D3EAE" w:rsidP="007D3EAE">
      <w:pPr>
        <w:ind w:firstLine="720"/>
      </w:pPr>
      <w:r w:rsidRPr="002F3756">
        <w:t xml:space="preserve">Additionally, </w:t>
      </w:r>
      <w:r>
        <w:t>YWD</w:t>
      </w:r>
      <w:r w:rsidRPr="002F3756">
        <w:t xml:space="preserve">, while in the same age range as </w:t>
      </w:r>
      <w:r>
        <w:t>SWD</w:t>
      </w:r>
      <w:r w:rsidRPr="002F3756">
        <w:t xml:space="preserve">, are not eligible to receive </w:t>
      </w:r>
      <w:proofErr w:type="gramStart"/>
      <w:r w:rsidRPr="002F3756">
        <w:t>Pre-ETS</w:t>
      </w:r>
      <w:proofErr w:type="gramEnd"/>
      <w:r w:rsidRPr="002F3756">
        <w:t xml:space="preserve"> services merely because they are not enrolled in an educational program. </w:t>
      </w:r>
      <w:r w:rsidRPr="00E2011B">
        <w:t xml:space="preserve">This has a significant impact on YWD in that Pre-ETS services are not available to them. </w:t>
      </w:r>
      <w:r w:rsidRPr="002F3756">
        <w:t xml:space="preserve">This </w:t>
      </w:r>
      <w:r>
        <w:t xml:space="preserve">may </w:t>
      </w:r>
      <w:r w:rsidRPr="002F3756">
        <w:t xml:space="preserve">force a </w:t>
      </w:r>
      <w:r>
        <w:t>YWD</w:t>
      </w:r>
      <w:r w:rsidRPr="002F3756">
        <w:t xml:space="preserve"> to remain enrolled in an educational program </w:t>
      </w:r>
      <w:r>
        <w:t>to</w:t>
      </w:r>
      <w:r w:rsidRPr="002F3756">
        <w:t xml:space="preserve"> participate in </w:t>
      </w:r>
      <w:proofErr w:type="gramStart"/>
      <w:r w:rsidRPr="002F3756">
        <w:t>Pre-ETS</w:t>
      </w:r>
      <w:proofErr w:type="gramEnd"/>
      <w:r w:rsidRPr="002F3756">
        <w:t xml:space="preserve"> services. This further complicates the VR agency’s ability to provide quality customer service to </w:t>
      </w:r>
      <w:r>
        <w:t>YWD</w:t>
      </w:r>
      <w:r w:rsidRPr="002F3756">
        <w:t xml:space="preserve"> and their families. </w:t>
      </w:r>
      <w:r>
        <w:t>Also, YWD</w:t>
      </w:r>
      <w:r w:rsidRPr="002F3756">
        <w:t xml:space="preserve"> and their families may no longer see </w:t>
      </w:r>
      <w:r>
        <w:t>the</w:t>
      </w:r>
      <w:r w:rsidRPr="002F3756">
        <w:t xml:space="preserve"> benefit in remaining in a recognized education program, </w:t>
      </w:r>
      <w:r>
        <w:t>leading to YWD who could</w:t>
      </w:r>
      <w:r w:rsidRPr="002F3756">
        <w:t xml:space="preserve"> benefit from </w:t>
      </w:r>
      <w:proofErr w:type="gramStart"/>
      <w:r w:rsidRPr="002F3756">
        <w:t>Pre-ETS</w:t>
      </w:r>
      <w:proofErr w:type="gramEnd"/>
      <w:r w:rsidRPr="002F3756">
        <w:t xml:space="preserve"> </w:t>
      </w:r>
      <w:r>
        <w:t>being</w:t>
      </w:r>
      <w:r w:rsidRPr="002F3756">
        <w:t xml:space="preserve"> ineligible. </w:t>
      </w:r>
    </w:p>
    <w:p w14:paraId="47522E39" w14:textId="77777777" w:rsidR="007D3EAE" w:rsidRPr="00E52EC7" w:rsidRDefault="007D3EAE" w:rsidP="007D3EAE">
      <w:pPr>
        <w:jc w:val="center"/>
        <w:rPr>
          <w:b/>
          <w:bCs/>
        </w:rPr>
      </w:pPr>
      <w:r w:rsidRPr="00E52EC7">
        <w:rPr>
          <w:b/>
          <w:bCs/>
        </w:rPr>
        <w:t>Recommendations for the Future of Pre-</w:t>
      </w:r>
      <w:r>
        <w:rPr>
          <w:b/>
          <w:bCs/>
        </w:rPr>
        <w:t>ETS</w:t>
      </w:r>
    </w:p>
    <w:p w14:paraId="36C41AD9" w14:textId="77777777" w:rsidR="007D3EAE" w:rsidRPr="00927974" w:rsidRDefault="007D3EAE" w:rsidP="007D3EAE">
      <w:r w:rsidRPr="00FF2772">
        <w:rPr>
          <w:b/>
          <w:bCs/>
        </w:rPr>
        <w:t xml:space="preserve">1) </w:t>
      </w:r>
      <w:r w:rsidRPr="00927974">
        <w:rPr>
          <w:b/>
          <w:bCs/>
        </w:rPr>
        <w:t xml:space="preserve">Implement </w:t>
      </w:r>
      <w:r w:rsidRPr="00FF2772">
        <w:rPr>
          <w:b/>
          <w:bCs/>
          <w:u w:val="single"/>
        </w:rPr>
        <w:t xml:space="preserve">new </w:t>
      </w:r>
      <w:r w:rsidRPr="00927974">
        <w:rPr>
          <w:b/>
          <w:bCs/>
          <w:u w:val="single"/>
        </w:rPr>
        <w:t>program measures</w:t>
      </w:r>
      <w:r w:rsidRPr="00927974">
        <w:rPr>
          <w:b/>
          <w:bCs/>
        </w:rPr>
        <w:t xml:space="preserve"> </w:t>
      </w:r>
      <w:r w:rsidRPr="00FF2772">
        <w:rPr>
          <w:b/>
          <w:bCs/>
        </w:rPr>
        <w:t>not tied to expenditures</w:t>
      </w:r>
      <w:r w:rsidRPr="00927974">
        <w:rPr>
          <w:b/>
          <w:bCs/>
        </w:rPr>
        <w:t>.</w:t>
      </w:r>
      <w:r w:rsidRPr="00927974">
        <w:t xml:space="preserve"> </w:t>
      </w:r>
    </w:p>
    <w:p w14:paraId="1C46BE04" w14:textId="77777777" w:rsidR="007D3EAE" w:rsidRDefault="007D3EAE" w:rsidP="007D3EAE">
      <w:pPr>
        <w:pStyle w:val="ListParagraph"/>
        <w:numPr>
          <w:ilvl w:val="0"/>
          <w:numId w:val="2"/>
        </w:numPr>
        <w:rPr>
          <w:rFonts w:ascii="Times New Roman" w:hAnsi="Times New Roman" w:cs="Times New Roman"/>
          <w:sz w:val="24"/>
          <w:szCs w:val="24"/>
        </w:rPr>
      </w:pPr>
      <w:r w:rsidRPr="00927974">
        <w:rPr>
          <w:rFonts w:ascii="Times New Roman" w:hAnsi="Times New Roman" w:cs="Times New Roman"/>
          <w:sz w:val="24"/>
          <w:szCs w:val="24"/>
        </w:rPr>
        <w:t xml:space="preserve">Consider a shift away from the exclusive reliance on the 15% set aside as the sole evaluative component for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w:t>
      </w:r>
    </w:p>
    <w:p w14:paraId="60F4685B" w14:textId="77777777" w:rsidR="007D3EAE" w:rsidRDefault="007D3EAE" w:rsidP="007D3EAE">
      <w:pPr>
        <w:pStyle w:val="ListParagraph"/>
        <w:numPr>
          <w:ilvl w:val="0"/>
          <w:numId w:val="2"/>
        </w:numPr>
        <w:rPr>
          <w:rFonts w:ascii="Times New Roman" w:hAnsi="Times New Roman" w:cs="Times New Roman"/>
          <w:sz w:val="24"/>
          <w:szCs w:val="24"/>
        </w:rPr>
      </w:pPr>
      <w:r w:rsidRPr="00927974">
        <w:rPr>
          <w:rFonts w:ascii="Times New Roman" w:hAnsi="Times New Roman" w:cs="Times New Roman"/>
          <w:sz w:val="24"/>
          <w:szCs w:val="24"/>
        </w:rPr>
        <w:t xml:space="preserve">Explore and implement a more comprehensive set of performance measures that go beyond expenditures to measure the impact and outcomes of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w:t>
      </w:r>
    </w:p>
    <w:p w14:paraId="1B546126" w14:textId="77777777" w:rsidR="007D3EAE" w:rsidRPr="00927974" w:rsidRDefault="007D3EAE" w:rsidP="007D3EAE">
      <w:pPr>
        <w:pStyle w:val="ListParagraph"/>
        <w:numPr>
          <w:ilvl w:val="1"/>
          <w:numId w:val="2"/>
        </w:numPr>
        <w:rPr>
          <w:rFonts w:ascii="Times New Roman" w:hAnsi="Times New Roman" w:cs="Times New Roman"/>
          <w:sz w:val="24"/>
          <w:szCs w:val="24"/>
        </w:rPr>
      </w:pPr>
      <w:r w:rsidRPr="00927974">
        <w:rPr>
          <w:rFonts w:ascii="Times New Roman" w:hAnsi="Times New Roman" w:cs="Times New Roman"/>
          <w:sz w:val="24"/>
          <w:szCs w:val="24"/>
        </w:rPr>
        <w:lastRenderedPageBreak/>
        <w:t xml:space="preserve">Examples of potential measures include the number of services provided; the number of SWD that accepted services; and the number of SWD who applied for and were determined eligible for VR services. </w:t>
      </w:r>
    </w:p>
    <w:p w14:paraId="0F1FAC79" w14:textId="77777777" w:rsidR="007D3EAE" w:rsidRPr="00FF2772" w:rsidRDefault="007D3EAE" w:rsidP="007D3EAE">
      <w:pPr>
        <w:rPr>
          <w:b/>
          <w:bCs/>
        </w:rPr>
      </w:pPr>
      <w:r w:rsidRPr="00FF2772">
        <w:rPr>
          <w:b/>
          <w:bCs/>
        </w:rPr>
        <w:t xml:space="preserve">2) Establish a universal and flexible </w:t>
      </w:r>
      <w:proofErr w:type="gramStart"/>
      <w:r w:rsidRPr="00FF2772">
        <w:rPr>
          <w:b/>
          <w:bCs/>
          <w:u w:val="single"/>
        </w:rPr>
        <w:t>Pre-ETS</w:t>
      </w:r>
      <w:proofErr w:type="gramEnd"/>
      <w:r w:rsidRPr="00FF2772">
        <w:rPr>
          <w:b/>
          <w:bCs/>
          <w:u w:val="single"/>
        </w:rPr>
        <w:t xml:space="preserve"> framework</w:t>
      </w:r>
      <w:r w:rsidRPr="00FF2772">
        <w:rPr>
          <w:b/>
          <w:bCs/>
        </w:rPr>
        <w:t>.</w:t>
      </w:r>
    </w:p>
    <w:p w14:paraId="4D28643D" w14:textId="77777777" w:rsidR="007D3EAE" w:rsidRPr="00FF2772" w:rsidRDefault="007D3EAE" w:rsidP="007D3EAE">
      <w:pPr>
        <w:pStyle w:val="NoSpacing"/>
        <w:numPr>
          <w:ilvl w:val="0"/>
          <w:numId w:val="6"/>
        </w:numPr>
        <w:rPr>
          <w:rFonts w:ascii="Times New Roman" w:hAnsi="Times New Roman" w:cs="Times New Roman"/>
          <w:sz w:val="24"/>
          <w:szCs w:val="24"/>
        </w:rPr>
      </w:pPr>
      <w:r w:rsidRPr="00E52EC7">
        <w:rPr>
          <w:rFonts w:ascii="Times New Roman" w:hAnsi="Times New Roman" w:cs="Times New Roman"/>
          <w:sz w:val="24"/>
          <w:szCs w:val="24"/>
        </w:rPr>
        <w:t xml:space="preserve">Establish a cohesive and universally effective </w:t>
      </w:r>
      <w:proofErr w:type="gramStart"/>
      <w:r w:rsidRPr="00E52EC7">
        <w:rPr>
          <w:rFonts w:ascii="Times New Roman" w:hAnsi="Times New Roman" w:cs="Times New Roman"/>
          <w:sz w:val="24"/>
          <w:szCs w:val="24"/>
        </w:rPr>
        <w:t>Pre-ETS</w:t>
      </w:r>
      <w:proofErr w:type="gramEnd"/>
      <w:r w:rsidRPr="00E52EC7">
        <w:rPr>
          <w:rFonts w:ascii="Times New Roman" w:hAnsi="Times New Roman" w:cs="Times New Roman"/>
          <w:sz w:val="24"/>
          <w:szCs w:val="24"/>
        </w:rPr>
        <w:t xml:space="preserve"> framework, ensuring consistency </w:t>
      </w:r>
      <w:r>
        <w:rPr>
          <w:rFonts w:ascii="Times New Roman" w:hAnsi="Times New Roman" w:cs="Times New Roman"/>
          <w:sz w:val="24"/>
          <w:szCs w:val="24"/>
        </w:rPr>
        <w:t xml:space="preserve">in planning, execution, and evaluation </w:t>
      </w:r>
      <w:r w:rsidRPr="00E52EC7">
        <w:rPr>
          <w:rFonts w:ascii="Times New Roman" w:hAnsi="Times New Roman" w:cs="Times New Roman"/>
          <w:sz w:val="24"/>
          <w:szCs w:val="24"/>
        </w:rPr>
        <w:t xml:space="preserve">across states. </w:t>
      </w:r>
    </w:p>
    <w:p w14:paraId="219A608A" w14:textId="77777777" w:rsidR="007D3EAE" w:rsidRPr="00FF2772" w:rsidRDefault="007D3EAE" w:rsidP="007D3EAE">
      <w:pPr>
        <w:pStyle w:val="NoSpacing"/>
        <w:numPr>
          <w:ilvl w:val="0"/>
          <w:numId w:val="6"/>
        </w:numPr>
        <w:rPr>
          <w:rFonts w:ascii="Times New Roman" w:hAnsi="Times New Roman" w:cs="Times New Roman"/>
          <w:sz w:val="24"/>
          <w:szCs w:val="24"/>
        </w:rPr>
      </w:pPr>
      <w:r w:rsidRPr="00FF2772">
        <w:rPr>
          <w:rFonts w:ascii="Times New Roman" w:hAnsi="Times New Roman" w:cs="Times New Roman"/>
          <w:sz w:val="24"/>
          <w:szCs w:val="24"/>
        </w:rPr>
        <w:t>Develop standardized processes and requirements beyond the mandated five services.</w:t>
      </w:r>
    </w:p>
    <w:p w14:paraId="3A764295" w14:textId="77777777" w:rsidR="007D3EAE" w:rsidRPr="00FF2772" w:rsidRDefault="007D3EAE" w:rsidP="007D3EAE">
      <w:pPr>
        <w:pStyle w:val="NoSpacing"/>
        <w:numPr>
          <w:ilvl w:val="0"/>
          <w:numId w:val="6"/>
        </w:numPr>
        <w:rPr>
          <w:rFonts w:ascii="Times New Roman" w:hAnsi="Times New Roman" w:cs="Times New Roman"/>
          <w:sz w:val="24"/>
          <w:szCs w:val="24"/>
        </w:rPr>
      </w:pPr>
      <w:r w:rsidRPr="00E52EC7">
        <w:rPr>
          <w:rFonts w:ascii="Times New Roman" w:hAnsi="Times New Roman" w:cs="Times New Roman"/>
          <w:sz w:val="24"/>
          <w:szCs w:val="24"/>
        </w:rPr>
        <w:t>Establis</w:t>
      </w:r>
      <w:r>
        <w:rPr>
          <w:rFonts w:ascii="Times New Roman" w:hAnsi="Times New Roman" w:cs="Times New Roman"/>
          <w:sz w:val="24"/>
          <w:szCs w:val="24"/>
        </w:rPr>
        <w:t>h</w:t>
      </w:r>
      <w:r w:rsidRPr="00E52EC7">
        <w:rPr>
          <w:rFonts w:ascii="Times New Roman" w:hAnsi="Times New Roman" w:cs="Times New Roman"/>
          <w:sz w:val="24"/>
          <w:szCs w:val="24"/>
        </w:rPr>
        <w:t xml:space="preserve"> a set of core standards that encompass service delivery, participant engagement, and performance evaluation, but remain flexible enough to accommodate state-specific needs while maintaining a unified approach.</w:t>
      </w:r>
    </w:p>
    <w:p w14:paraId="65E52DA9" w14:textId="77777777" w:rsidR="007D3EAE" w:rsidRPr="00FF2772" w:rsidRDefault="007D3EAE" w:rsidP="007D3EAE">
      <w:pPr>
        <w:pStyle w:val="NoSpacing"/>
        <w:numPr>
          <w:ilvl w:val="0"/>
          <w:numId w:val="6"/>
        </w:numPr>
        <w:rPr>
          <w:rFonts w:ascii="Times New Roman" w:hAnsi="Times New Roman" w:cs="Times New Roman"/>
          <w:sz w:val="24"/>
          <w:szCs w:val="24"/>
        </w:rPr>
      </w:pPr>
      <w:r w:rsidRPr="00E52EC7">
        <w:rPr>
          <w:rFonts w:ascii="Times New Roman" w:hAnsi="Times New Roman" w:cs="Times New Roman"/>
          <w:sz w:val="24"/>
          <w:szCs w:val="24"/>
        </w:rPr>
        <w:t>Creat</w:t>
      </w:r>
      <w:r>
        <w:rPr>
          <w:rFonts w:ascii="Times New Roman" w:hAnsi="Times New Roman" w:cs="Times New Roman"/>
          <w:sz w:val="24"/>
          <w:szCs w:val="24"/>
        </w:rPr>
        <w:t>e</w:t>
      </w:r>
      <w:r w:rsidRPr="00E52EC7">
        <w:rPr>
          <w:rFonts w:ascii="Times New Roman" w:hAnsi="Times New Roman" w:cs="Times New Roman"/>
          <w:sz w:val="24"/>
          <w:szCs w:val="24"/>
        </w:rPr>
        <w:t xml:space="preserve"> standardized curricula for the mandated five services within </w:t>
      </w:r>
      <w:proofErr w:type="gramStart"/>
      <w:r w:rsidRPr="00E52EC7">
        <w:rPr>
          <w:rFonts w:ascii="Times New Roman" w:hAnsi="Times New Roman" w:cs="Times New Roman"/>
          <w:sz w:val="24"/>
          <w:szCs w:val="24"/>
        </w:rPr>
        <w:t>Pre-ETS</w:t>
      </w:r>
      <w:proofErr w:type="gramEnd"/>
      <w:r w:rsidRPr="00E52EC7">
        <w:rPr>
          <w:rFonts w:ascii="Times New Roman" w:hAnsi="Times New Roman" w:cs="Times New Roman"/>
          <w:sz w:val="24"/>
          <w:szCs w:val="24"/>
        </w:rPr>
        <w:t xml:space="preserve"> by collaborating with educational experts, industry professionals, and disability advocates to develop comprehensive and adaptable curricula that address the diverse needs and interests of SWD and YWD.</w:t>
      </w:r>
    </w:p>
    <w:p w14:paraId="24159CF0" w14:textId="77777777" w:rsidR="007D3EAE" w:rsidRPr="00E52EC7" w:rsidRDefault="007D3EAE" w:rsidP="007D3EAE">
      <w:pPr>
        <w:pStyle w:val="NoSpacing"/>
        <w:numPr>
          <w:ilvl w:val="0"/>
          <w:numId w:val="6"/>
        </w:numPr>
        <w:rPr>
          <w:rFonts w:ascii="Times New Roman" w:hAnsi="Times New Roman" w:cs="Times New Roman"/>
          <w:sz w:val="24"/>
          <w:szCs w:val="24"/>
        </w:rPr>
      </w:pPr>
      <w:r w:rsidRPr="00E52EC7">
        <w:rPr>
          <w:rFonts w:ascii="Times New Roman" w:hAnsi="Times New Roman" w:cs="Times New Roman"/>
          <w:sz w:val="24"/>
          <w:szCs w:val="24"/>
        </w:rPr>
        <w:t xml:space="preserve">Implement formal training programs for </w:t>
      </w:r>
      <w:proofErr w:type="gramStart"/>
      <w:r w:rsidRPr="00E52EC7">
        <w:rPr>
          <w:rFonts w:ascii="Times New Roman" w:hAnsi="Times New Roman" w:cs="Times New Roman"/>
          <w:sz w:val="24"/>
          <w:szCs w:val="24"/>
        </w:rPr>
        <w:t>Pre-ETS</w:t>
      </w:r>
      <w:proofErr w:type="gramEnd"/>
      <w:r w:rsidRPr="00E52EC7">
        <w:rPr>
          <w:rFonts w:ascii="Times New Roman" w:hAnsi="Times New Roman" w:cs="Times New Roman"/>
          <w:sz w:val="24"/>
          <w:szCs w:val="24"/>
        </w:rPr>
        <w:t xml:space="preserve"> service providers, to include online courses, workshops, and certifications designed to equip professionals with the knowledge and skills necessary to deliver effective services to SWD (the ACRE certification process could be used to create standardized Pre-ETS service provider training).</w:t>
      </w:r>
    </w:p>
    <w:p w14:paraId="6C327648" w14:textId="77777777" w:rsidR="007D3EAE" w:rsidRPr="00E52EC7" w:rsidRDefault="007D3EAE" w:rsidP="007D3EAE">
      <w:pPr>
        <w:pStyle w:val="NoSpacing"/>
      </w:pPr>
    </w:p>
    <w:p w14:paraId="66F092DA" w14:textId="77777777" w:rsidR="007D3EAE" w:rsidRPr="002F3756" w:rsidRDefault="007D3EAE" w:rsidP="007D3EAE">
      <w:r>
        <w:rPr>
          <w:b/>
          <w:bCs/>
        </w:rPr>
        <w:t xml:space="preserve">3) </w:t>
      </w:r>
      <w:r w:rsidRPr="00FF2772">
        <w:rPr>
          <w:b/>
          <w:bCs/>
          <w:u w:val="single"/>
        </w:rPr>
        <w:t>Expand eligibility</w:t>
      </w:r>
      <w:r w:rsidRPr="002F3756">
        <w:rPr>
          <w:b/>
          <w:bCs/>
        </w:rPr>
        <w:t xml:space="preserve"> for </w:t>
      </w:r>
      <w:proofErr w:type="gramStart"/>
      <w:r w:rsidRPr="002F3756">
        <w:rPr>
          <w:b/>
          <w:bCs/>
        </w:rPr>
        <w:t>Pre-ETS</w:t>
      </w:r>
      <w:proofErr w:type="gramEnd"/>
      <w:r w:rsidRPr="002F3756">
        <w:rPr>
          <w:b/>
          <w:bCs/>
        </w:rPr>
        <w:t xml:space="preserve"> to </w:t>
      </w:r>
      <w:r>
        <w:rPr>
          <w:b/>
          <w:bCs/>
        </w:rPr>
        <w:t>include YWD</w:t>
      </w:r>
      <w:r w:rsidRPr="002F3756">
        <w:rPr>
          <w:b/>
          <w:bCs/>
        </w:rPr>
        <w:t>.</w:t>
      </w:r>
      <w:r w:rsidRPr="002F3756">
        <w:t xml:space="preserve"> </w:t>
      </w:r>
    </w:p>
    <w:p w14:paraId="363EA836" w14:textId="77777777" w:rsidR="007D3EAE" w:rsidRDefault="007D3EAE" w:rsidP="007D3EAE">
      <w:pPr>
        <w:pStyle w:val="ListParagraph"/>
        <w:numPr>
          <w:ilvl w:val="0"/>
          <w:numId w:val="3"/>
        </w:numPr>
        <w:rPr>
          <w:rFonts w:ascii="Times New Roman" w:hAnsi="Times New Roman" w:cs="Times New Roman"/>
          <w:sz w:val="24"/>
          <w:szCs w:val="24"/>
        </w:rPr>
      </w:pPr>
      <w:r w:rsidRPr="00927974">
        <w:rPr>
          <w:rFonts w:ascii="Times New Roman" w:hAnsi="Times New Roman" w:cs="Times New Roman"/>
          <w:sz w:val="24"/>
          <w:szCs w:val="24"/>
        </w:rPr>
        <w:t xml:space="preserve">Recognize the importance of general and pre-employment transition services for YWD who may not be enrolled in recognized educational programs. </w:t>
      </w:r>
    </w:p>
    <w:p w14:paraId="1CC7F27E" w14:textId="77777777" w:rsidR="007D3EAE" w:rsidRDefault="007D3EAE" w:rsidP="007D3EAE">
      <w:pPr>
        <w:pStyle w:val="ListParagraph"/>
        <w:numPr>
          <w:ilvl w:val="0"/>
          <w:numId w:val="3"/>
        </w:numPr>
        <w:rPr>
          <w:rFonts w:ascii="Times New Roman" w:hAnsi="Times New Roman" w:cs="Times New Roman"/>
          <w:sz w:val="24"/>
          <w:szCs w:val="24"/>
        </w:rPr>
      </w:pPr>
      <w:r w:rsidRPr="00927974">
        <w:rPr>
          <w:rFonts w:ascii="Times New Roman" w:hAnsi="Times New Roman" w:cs="Times New Roman"/>
          <w:sz w:val="24"/>
          <w:szCs w:val="24"/>
        </w:rPr>
        <w:t xml:space="preserve">Develop strategies to include and support </w:t>
      </w:r>
      <w:r>
        <w:rPr>
          <w:rFonts w:ascii="Times New Roman" w:hAnsi="Times New Roman" w:cs="Times New Roman"/>
          <w:sz w:val="24"/>
          <w:szCs w:val="24"/>
        </w:rPr>
        <w:t>YWD</w:t>
      </w:r>
      <w:r w:rsidRPr="00927974">
        <w:rPr>
          <w:rFonts w:ascii="Times New Roman" w:hAnsi="Times New Roman" w:cs="Times New Roman"/>
          <w:sz w:val="24"/>
          <w:szCs w:val="24"/>
        </w:rPr>
        <w:t xml:space="preserve"> in transition services, ensuring that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services are not contingent on educational enrollment. </w:t>
      </w:r>
    </w:p>
    <w:p w14:paraId="3DAE7B34" w14:textId="77777777" w:rsidR="007D3EAE" w:rsidRDefault="007D3EAE" w:rsidP="007D3EAE">
      <w:pPr>
        <w:pStyle w:val="ListParagraph"/>
        <w:numPr>
          <w:ilvl w:val="0"/>
          <w:numId w:val="3"/>
        </w:numPr>
        <w:rPr>
          <w:rFonts w:ascii="Times New Roman" w:hAnsi="Times New Roman" w:cs="Times New Roman"/>
          <w:sz w:val="24"/>
          <w:szCs w:val="24"/>
        </w:rPr>
      </w:pPr>
      <w:r w:rsidRPr="00927974">
        <w:rPr>
          <w:rFonts w:ascii="Times New Roman" w:hAnsi="Times New Roman" w:cs="Times New Roman"/>
          <w:sz w:val="24"/>
          <w:szCs w:val="24"/>
        </w:rPr>
        <w:t>Clarify and simplify definitions and eligibility criteria</w:t>
      </w:r>
      <w:r>
        <w:rPr>
          <w:rFonts w:ascii="Times New Roman" w:hAnsi="Times New Roman" w:cs="Times New Roman"/>
          <w:sz w:val="24"/>
          <w:szCs w:val="24"/>
        </w:rPr>
        <w:t xml:space="preserve"> used in RSA regulation</w:t>
      </w:r>
      <w:r w:rsidRPr="00927974">
        <w:rPr>
          <w:rFonts w:ascii="Times New Roman" w:hAnsi="Times New Roman" w:cs="Times New Roman"/>
          <w:sz w:val="24"/>
          <w:szCs w:val="24"/>
        </w:rPr>
        <w:t xml:space="preserve">, especially the distinction between </w:t>
      </w:r>
      <w:r>
        <w:rPr>
          <w:rFonts w:ascii="Times New Roman" w:hAnsi="Times New Roman" w:cs="Times New Roman"/>
          <w:sz w:val="24"/>
          <w:szCs w:val="24"/>
        </w:rPr>
        <w:t>SWD</w:t>
      </w:r>
      <w:r w:rsidRPr="00927974">
        <w:rPr>
          <w:rFonts w:ascii="Times New Roman" w:hAnsi="Times New Roman" w:cs="Times New Roman"/>
          <w:sz w:val="24"/>
          <w:szCs w:val="24"/>
        </w:rPr>
        <w:t xml:space="preserve"> and </w:t>
      </w:r>
      <w:r>
        <w:rPr>
          <w:rFonts w:ascii="Times New Roman" w:hAnsi="Times New Roman" w:cs="Times New Roman"/>
          <w:sz w:val="24"/>
          <w:szCs w:val="24"/>
        </w:rPr>
        <w:t>YWD (</w:t>
      </w:r>
      <w:r w:rsidRPr="00927974">
        <w:rPr>
          <w:rFonts w:ascii="Times New Roman" w:hAnsi="Times New Roman" w:cs="Times New Roman"/>
          <w:sz w:val="24"/>
          <w:szCs w:val="24"/>
        </w:rPr>
        <w:t xml:space="preserve">WIOA ensures that definitions align with the goals of the program and do not create unnecessary barriers for </w:t>
      </w:r>
      <w:r>
        <w:rPr>
          <w:rFonts w:ascii="Times New Roman" w:hAnsi="Times New Roman" w:cs="Times New Roman"/>
          <w:sz w:val="24"/>
          <w:szCs w:val="24"/>
        </w:rPr>
        <w:t>YWD)</w:t>
      </w:r>
      <w:r w:rsidRPr="00927974">
        <w:rPr>
          <w:rFonts w:ascii="Times New Roman" w:hAnsi="Times New Roman" w:cs="Times New Roman"/>
          <w:sz w:val="24"/>
          <w:szCs w:val="24"/>
        </w:rPr>
        <w:t xml:space="preserve">. </w:t>
      </w:r>
    </w:p>
    <w:p w14:paraId="69B952E7" w14:textId="77777777" w:rsidR="007D3EAE" w:rsidRPr="00927974" w:rsidRDefault="007D3EAE" w:rsidP="007D3E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r w:rsidRPr="00927974">
        <w:rPr>
          <w:rFonts w:ascii="Times New Roman" w:hAnsi="Times New Roman" w:cs="Times New Roman"/>
          <w:sz w:val="24"/>
          <w:szCs w:val="24"/>
        </w:rPr>
        <w:t xml:space="preserve">onsider establishing policies that do not allow for a determination of ineligibility for services for youth under the age of 22. </w:t>
      </w:r>
    </w:p>
    <w:p w14:paraId="05AE6008" w14:textId="77777777" w:rsidR="007D3EAE" w:rsidRPr="002F3756" w:rsidRDefault="007D3EAE" w:rsidP="007D3EAE">
      <w:pPr>
        <w:rPr>
          <w:b/>
          <w:bCs/>
        </w:rPr>
      </w:pPr>
      <w:r>
        <w:rPr>
          <w:b/>
          <w:bCs/>
        </w:rPr>
        <w:t xml:space="preserve">4) </w:t>
      </w:r>
      <w:r w:rsidRPr="002F3756">
        <w:rPr>
          <w:b/>
          <w:bCs/>
        </w:rPr>
        <w:t xml:space="preserve">Allow for greater </w:t>
      </w:r>
      <w:r w:rsidRPr="00FF2772">
        <w:rPr>
          <w:b/>
          <w:bCs/>
          <w:u w:val="single"/>
        </w:rPr>
        <w:t>flexibility in spending</w:t>
      </w:r>
      <w:r w:rsidRPr="002F3756">
        <w:rPr>
          <w:b/>
          <w:bCs/>
        </w:rPr>
        <w:t xml:space="preserve"> the 15% reserve.</w:t>
      </w:r>
    </w:p>
    <w:p w14:paraId="0DA6CCE7" w14:textId="77777777" w:rsidR="007D3EAE" w:rsidRDefault="007D3EAE" w:rsidP="007D3EAE">
      <w:pPr>
        <w:pStyle w:val="ListParagraph"/>
        <w:numPr>
          <w:ilvl w:val="0"/>
          <w:numId w:val="4"/>
        </w:numPr>
        <w:rPr>
          <w:rFonts w:ascii="Times New Roman" w:hAnsi="Times New Roman" w:cs="Times New Roman"/>
          <w:sz w:val="24"/>
          <w:szCs w:val="24"/>
        </w:rPr>
      </w:pPr>
      <w:r w:rsidRPr="00927974">
        <w:rPr>
          <w:rFonts w:ascii="Times New Roman" w:hAnsi="Times New Roman" w:cs="Times New Roman"/>
          <w:sz w:val="24"/>
          <w:szCs w:val="24"/>
        </w:rPr>
        <w:t xml:space="preserve">Broaden the availability of the VR flexibilities to include </w:t>
      </w:r>
      <w:r>
        <w:rPr>
          <w:rFonts w:ascii="Times New Roman" w:hAnsi="Times New Roman" w:cs="Times New Roman"/>
          <w:sz w:val="24"/>
          <w:szCs w:val="24"/>
        </w:rPr>
        <w:t>SWD</w:t>
      </w:r>
      <w:r w:rsidRPr="00927974">
        <w:rPr>
          <w:rFonts w:ascii="Times New Roman" w:hAnsi="Times New Roman" w:cs="Times New Roman"/>
          <w:sz w:val="24"/>
          <w:szCs w:val="24"/>
        </w:rPr>
        <w:t xml:space="preserve"> and </w:t>
      </w:r>
      <w:r>
        <w:rPr>
          <w:rFonts w:ascii="Times New Roman" w:hAnsi="Times New Roman" w:cs="Times New Roman"/>
          <w:sz w:val="24"/>
          <w:szCs w:val="24"/>
        </w:rPr>
        <w:t>YWD</w:t>
      </w:r>
      <w:r w:rsidRPr="00927974">
        <w:rPr>
          <w:rFonts w:ascii="Times New Roman" w:hAnsi="Times New Roman" w:cs="Times New Roman"/>
          <w:sz w:val="24"/>
          <w:szCs w:val="24"/>
        </w:rPr>
        <w:t xml:space="preserve"> who are potentially eligible for the VR program.</w:t>
      </w:r>
    </w:p>
    <w:p w14:paraId="530F8405" w14:textId="77777777" w:rsidR="007D3EAE" w:rsidRDefault="007D3EAE" w:rsidP="007D3E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Pr="00927974">
        <w:rPr>
          <w:rFonts w:ascii="Times New Roman" w:hAnsi="Times New Roman" w:cs="Times New Roman"/>
          <w:sz w:val="24"/>
          <w:szCs w:val="24"/>
        </w:rPr>
        <w:t xml:space="preserve">treamline the transition process from Pre-ETS to VR services to minimize delays. </w:t>
      </w:r>
    </w:p>
    <w:p w14:paraId="1548A64F" w14:textId="77777777" w:rsidR="007D3EAE" w:rsidRPr="00927974" w:rsidRDefault="007D3EAE" w:rsidP="007D3EAE">
      <w:pPr>
        <w:pStyle w:val="ListParagraph"/>
        <w:numPr>
          <w:ilvl w:val="0"/>
          <w:numId w:val="4"/>
        </w:numPr>
        <w:rPr>
          <w:rFonts w:ascii="Times New Roman" w:hAnsi="Times New Roman" w:cs="Times New Roman"/>
          <w:sz w:val="24"/>
          <w:szCs w:val="24"/>
        </w:rPr>
      </w:pPr>
      <w:r w:rsidRPr="00927974">
        <w:rPr>
          <w:rFonts w:ascii="Times New Roman" w:hAnsi="Times New Roman" w:cs="Times New Roman"/>
          <w:sz w:val="24"/>
          <w:szCs w:val="24"/>
        </w:rPr>
        <w:t xml:space="preserve">Remove the requirement of VR eligibility for individuals who need to access the VR flexibilities to participate in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services. </w:t>
      </w:r>
    </w:p>
    <w:p w14:paraId="1F20ED28" w14:textId="77777777" w:rsidR="007D3EAE" w:rsidRPr="00927974" w:rsidRDefault="007D3EAE" w:rsidP="007D3EAE">
      <w:pPr>
        <w:pStyle w:val="ListParagraph"/>
        <w:numPr>
          <w:ilvl w:val="0"/>
          <w:numId w:val="4"/>
        </w:numPr>
        <w:rPr>
          <w:rFonts w:ascii="Times New Roman" w:hAnsi="Times New Roman" w:cs="Times New Roman"/>
          <w:sz w:val="24"/>
          <w:szCs w:val="24"/>
        </w:rPr>
      </w:pPr>
      <w:r w:rsidRPr="00927974">
        <w:rPr>
          <w:rFonts w:ascii="Times New Roman" w:hAnsi="Times New Roman" w:cs="Times New Roman"/>
          <w:sz w:val="24"/>
          <w:szCs w:val="24"/>
        </w:rPr>
        <w:t xml:space="preserve">Remove the provision of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fiscal forecasting to determine the ability of the state to transition to authorized services</w:t>
      </w:r>
      <w:r>
        <w:rPr>
          <w:rFonts w:ascii="Times New Roman" w:hAnsi="Times New Roman" w:cs="Times New Roman"/>
          <w:sz w:val="24"/>
          <w:szCs w:val="24"/>
        </w:rPr>
        <w:t xml:space="preserve"> and </w:t>
      </w:r>
      <w:r w:rsidRPr="00927974">
        <w:rPr>
          <w:rFonts w:ascii="Times New Roman" w:hAnsi="Times New Roman" w:cs="Times New Roman"/>
          <w:sz w:val="24"/>
          <w:szCs w:val="24"/>
        </w:rPr>
        <w:t>allow agencies the flexibility to implement services as outlined in their state plans</w:t>
      </w:r>
      <w:r>
        <w:rPr>
          <w:rFonts w:ascii="Times New Roman" w:hAnsi="Times New Roman" w:cs="Times New Roman"/>
          <w:sz w:val="24"/>
          <w:szCs w:val="24"/>
        </w:rPr>
        <w:t>, thus</w:t>
      </w:r>
      <w:r w:rsidRPr="00927974">
        <w:rPr>
          <w:rFonts w:ascii="Times New Roman" w:hAnsi="Times New Roman" w:cs="Times New Roman"/>
          <w:sz w:val="24"/>
          <w:szCs w:val="24"/>
        </w:rPr>
        <w:t xml:space="preserve"> remov</w:t>
      </w:r>
      <w:r>
        <w:rPr>
          <w:rFonts w:ascii="Times New Roman" w:hAnsi="Times New Roman" w:cs="Times New Roman"/>
          <w:sz w:val="24"/>
          <w:szCs w:val="24"/>
        </w:rPr>
        <w:t>ing</w:t>
      </w:r>
      <w:r w:rsidRPr="00927974">
        <w:rPr>
          <w:rFonts w:ascii="Times New Roman" w:hAnsi="Times New Roman" w:cs="Times New Roman"/>
          <w:sz w:val="24"/>
          <w:szCs w:val="24"/>
        </w:rPr>
        <w:t xml:space="preserve"> an overburden on processes that do not enhance service delivery to </w:t>
      </w:r>
      <w:r>
        <w:rPr>
          <w:rFonts w:ascii="Times New Roman" w:hAnsi="Times New Roman" w:cs="Times New Roman"/>
          <w:sz w:val="24"/>
          <w:szCs w:val="24"/>
        </w:rPr>
        <w:t>SWD</w:t>
      </w:r>
      <w:r w:rsidRPr="00927974">
        <w:rPr>
          <w:rFonts w:ascii="Times New Roman" w:hAnsi="Times New Roman" w:cs="Times New Roman"/>
          <w:sz w:val="24"/>
          <w:szCs w:val="24"/>
        </w:rPr>
        <w:t xml:space="preserve"> and </w:t>
      </w:r>
      <w:r>
        <w:rPr>
          <w:rFonts w:ascii="Times New Roman" w:hAnsi="Times New Roman" w:cs="Times New Roman"/>
          <w:sz w:val="24"/>
          <w:szCs w:val="24"/>
        </w:rPr>
        <w:t>YWD</w:t>
      </w:r>
      <w:r w:rsidRPr="00927974">
        <w:rPr>
          <w:rFonts w:ascii="Times New Roman" w:hAnsi="Times New Roman" w:cs="Times New Roman"/>
          <w:sz w:val="24"/>
          <w:szCs w:val="24"/>
        </w:rPr>
        <w:t xml:space="preserve">. </w:t>
      </w:r>
    </w:p>
    <w:p w14:paraId="4D36E3CF" w14:textId="77777777" w:rsidR="007D3EAE" w:rsidRDefault="007D3EAE" w:rsidP="007D3EAE">
      <w:pPr>
        <w:pStyle w:val="ListParagraph"/>
        <w:numPr>
          <w:ilvl w:val="0"/>
          <w:numId w:val="4"/>
        </w:numPr>
        <w:rPr>
          <w:rFonts w:ascii="Times New Roman" w:hAnsi="Times New Roman" w:cs="Times New Roman"/>
          <w:sz w:val="24"/>
          <w:szCs w:val="24"/>
        </w:rPr>
      </w:pPr>
      <w:r w:rsidRPr="00927974">
        <w:rPr>
          <w:rFonts w:ascii="Times New Roman" w:hAnsi="Times New Roman" w:cs="Times New Roman"/>
          <w:sz w:val="24"/>
          <w:szCs w:val="24"/>
        </w:rPr>
        <w:t xml:space="preserve">Advocate for a more comprehensive and tailored approach to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that goes beyond meeting minimum expectations. </w:t>
      </w:r>
    </w:p>
    <w:p w14:paraId="4DCE5297" w14:textId="77777777" w:rsidR="007D3EAE" w:rsidRPr="00927974" w:rsidRDefault="007D3EAE" w:rsidP="007D3EAE">
      <w:pPr>
        <w:pStyle w:val="ListParagraph"/>
        <w:numPr>
          <w:ilvl w:val="0"/>
          <w:numId w:val="4"/>
        </w:numPr>
        <w:rPr>
          <w:rFonts w:ascii="Times New Roman" w:hAnsi="Times New Roman" w:cs="Times New Roman"/>
          <w:sz w:val="24"/>
          <w:szCs w:val="24"/>
        </w:rPr>
      </w:pPr>
      <w:r w:rsidRPr="00927974">
        <w:rPr>
          <w:rFonts w:ascii="Times New Roman" w:hAnsi="Times New Roman" w:cs="Times New Roman"/>
          <w:sz w:val="24"/>
          <w:szCs w:val="24"/>
        </w:rPr>
        <w:t xml:space="preserve">Encourage states to focus on establishing and maintaining effective services for </w:t>
      </w:r>
      <w:r>
        <w:rPr>
          <w:rFonts w:ascii="Times New Roman" w:hAnsi="Times New Roman" w:cs="Times New Roman"/>
          <w:sz w:val="24"/>
          <w:szCs w:val="24"/>
        </w:rPr>
        <w:t>SWD</w:t>
      </w:r>
      <w:r w:rsidRPr="00927974">
        <w:rPr>
          <w:rFonts w:ascii="Times New Roman" w:hAnsi="Times New Roman" w:cs="Times New Roman"/>
          <w:sz w:val="24"/>
          <w:szCs w:val="24"/>
        </w:rPr>
        <w:t>, ensuring a holistic approach to their development and success.</w:t>
      </w:r>
    </w:p>
    <w:p w14:paraId="7F435540" w14:textId="77777777" w:rsidR="007D3EAE" w:rsidRDefault="007D3EAE" w:rsidP="007D3EAE">
      <w:pPr>
        <w:pStyle w:val="ListParagraph"/>
        <w:numPr>
          <w:ilvl w:val="0"/>
          <w:numId w:val="4"/>
        </w:numPr>
        <w:rPr>
          <w:rFonts w:ascii="Times New Roman" w:hAnsi="Times New Roman" w:cs="Times New Roman"/>
          <w:sz w:val="24"/>
          <w:szCs w:val="24"/>
        </w:rPr>
      </w:pPr>
      <w:r w:rsidRPr="00927974">
        <w:rPr>
          <w:rFonts w:ascii="Times New Roman" w:hAnsi="Times New Roman" w:cs="Times New Roman"/>
          <w:sz w:val="24"/>
          <w:szCs w:val="24"/>
        </w:rPr>
        <w:t xml:space="preserve">Expand </w:t>
      </w:r>
      <w:proofErr w:type="gramStart"/>
      <w:r w:rsidRPr="00927974">
        <w:rPr>
          <w:rFonts w:ascii="Times New Roman" w:hAnsi="Times New Roman" w:cs="Times New Roman"/>
          <w:sz w:val="24"/>
          <w:szCs w:val="24"/>
        </w:rPr>
        <w:t>Pre-ETS</w:t>
      </w:r>
      <w:proofErr w:type="gramEnd"/>
      <w:r w:rsidRPr="00927974">
        <w:rPr>
          <w:rFonts w:ascii="Times New Roman" w:hAnsi="Times New Roman" w:cs="Times New Roman"/>
          <w:sz w:val="24"/>
          <w:szCs w:val="24"/>
        </w:rPr>
        <w:t xml:space="preserve"> services to go beyond the five required components outlined in WIOA</w:t>
      </w:r>
      <w:r>
        <w:rPr>
          <w:rFonts w:ascii="Times New Roman" w:hAnsi="Times New Roman" w:cs="Times New Roman"/>
          <w:sz w:val="24"/>
          <w:szCs w:val="24"/>
        </w:rPr>
        <w:t>, thus a</w:t>
      </w:r>
      <w:r w:rsidRPr="00927974">
        <w:rPr>
          <w:rFonts w:ascii="Times New Roman" w:hAnsi="Times New Roman" w:cs="Times New Roman"/>
          <w:sz w:val="24"/>
          <w:szCs w:val="24"/>
        </w:rPr>
        <w:t>cknowledg</w:t>
      </w:r>
      <w:r>
        <w:rPr>
          <w:rFonts w:ascii="Times New Roman" w:hAnsi="Times New Roman" w:cs="Times New Roman"/>
          <w:sz w:val="24"/>
          <w:szCs w:val="24"/>
        </w:rPr>
        <w:t>ing</w:t>
      </w:r>
      <w:r w:rsidRPr="00927974">
        <w:rPr>
          <w:rFonts w:ascii="Times New Roman" w:hAnsi="Times New Roman" w:cs="Times New Roman"/>
          <w:sz w:val="24"/>
          <w:szCs w:val="24"/>
        </w:rPr>
        <w:t xml:space="preserve"> that students have diverse needs and interests, and a broader range of services may better address individualized goals and aspirations</w:t>
      </w:r>
      <w:r>
        <w:rPr>
          <w:rFonts w:ascii="Times New Roman" w:hAnsi="Times New Roman" w:cs="Times New Roman"/>
          <w:sz w:val="24"/>
          <w:szCs w:val="24"/>
        </w:rPr>
        <w:t xml:space="preserve">. </w:t>
      </w:r>
    </w:p>
    <w:p w14:paraId="552A75C1" w14:textId="77777777" w:rsidR="007D3EAE" w:rsidRDefault="007D3EAE" w:rsidP="007D3EA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w:t>
      </w:r>
      <w:r w:rsidRPr="00927974">
        <w:rPr>
          <w:rFonts w:ascii="Times New Roman" w:hAnsi="Times New Roman" w:cs="Times New Roman"/>
          <w:sz w:val="24"/>
          <w:szCs w:val="24"/>
        </w:rPr>
        <w:t xml:space="preserve">nclude services such as college and vocational training for </w:t>
      </w:r>
      <w:r>
        <w:rPr>
          <w:rFonts w:ascii="Times New Roman" w:hAnsi="Times New Roman" w:cs="Times New Roman"/>
          <w:sz w:val="24"/>
          <w:szCs w:val="24"/>
        </w:rPr>
        <w:t>YWD</w:t>
      </w:r>
      <w:r w:rsidRPr="00927974">
        <w:rPr>
          <w:rFonts w:ascii="Times New Roman" w:hAnsi="Times New Roman" w:cs="Times New Roman"/>
          <w:sz w:val="24"/>
          <w:szCs w:val="24"/>
        </w:rPr>
        <w:t xml:space="preserve">. </w:t>
      </w:r>
    </w:p>
    <w:p w14:paraId="58F4508B" w14:textId="77777777" w:rsidR="007D3EAE" w:rsidRPr="00927974" w:rsidRDefault="007D3EAE" w:rsidP="007D3E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A</w:t>
      </w:r>
      <w:r w:rsidRPr="00927974">
        <w:rPr>
          <w:rFonts w:ascii="Times New Roman" w:hAnsi="Times New Roman" w:cs="Times New Roman"/>
          <w:sz w:val="24"/>
          <w:szCs w:val="24"/>
        </w:rPr>
        <w:t xml:space="preserve">llow </w:t>
      </w:r>
      <w:r>
        <w:rPr>
          <w:rFonts w:ascii="Times New Roman" w:hAnsi="Times New Roman" w:cs="Times New Roman"/>
          <w:sz w:val="24"/>
          <w:szCs w:val="24"/>
        </w:rPr>
        <w:t xml:space="preserve">allocation of administrative expenses, associated with implementing </w:t>
      </w:r>
      <w:proofErr w:type="gramStart"/>
      <w:r>
        <w:rPr>
          <w:rFonts w:ascii="Times New Roman" w:hAnsi="Times New Roman" w:cs="Times New Roman"/>
          <w:sz w:val="24"/>
          <w:szCs w:val="24"/>
        </w:rPr>
        <w:t>Pre-ETS</w:t>
      </w:r>
      <w:proofErr w:type="gramEnd"/>
      <w:r>
        <w:rPr>
          <w:rFonts w:ascii="Times New Roman" w:hAnsi="Times New Roman" w:cs="Times New Roman"/>
          <w:sz w:val="24"/>
          <w:szCs w:val="24"/>
        </w:rPr>
        <w:t>, to the 15% reserve</w:t>
      </w:r>
      <w:r w:rsidRPr="00927974">
        <w:rPr>
          <w:rFonts w:ascii="Times New Roman" w:hAnsi="Times New Roman" w:cs="Times New Roman"/>
          <w:sz w:val="24"/>
          <w:szCs w:val="24"/>
        </w:rPr>
        <w:t>.</w:t>
      </w:r>
    </w:p>
    <w:p w14:paraId="2FC2BFC3" w14:textId="77777777" w:rsidR="007D3EAE" w:rsidRPr="00FF2772" w:rsidRDefault="007D3EAE" w:rsidP="007D3EAE">
      <w:pPr>
        <w:jc w:val="center"/>
        <w:rPr>
          <w:b/>
          <w:bCs/>
        </w:rPr>
      </w:pPr>
      <w:r w:rsidRPr="00FF2772">
        <w:rPr>
          <w:b/>
          <w:bCs/>
        </w:rPr>
        <w:t xml:space="preserve">Conclusion: Enhancing the </w:t>
      </w:r>
      <w:r>
        <w:rPr>
          <w:b/>
          <w:bCs/>
        </w:rPr>
        <w:t>F</w:t>
      </w:r>
      <w:r w:rsidRPr="00FF2772">
        <w:rPr>
          <w:b/>
          <w:bCs/>
        </w:rPr>
        <w:t>uture of Pre-</w:t>
      </w:r>
      <w:r>
        <w:rPr>
          <w:b/>
          <w:bCs/>
        </w:rPr>
        <w:t>ETS</w:t>
      </w:r>
    </w:p>
    <w:p w14:paraId="5D435875" w14:textId="77777777" w:rsidR="007D3EAE" w:rsidRPr="002F3756" w:rsidRDefault="007D3EAE" w:rsidP="007D3EAE">
      <w:pPr>
        <w:ind w:firstLine="720"/>
      </w:pPr>
      <w:r w:rsidRPr="002F3756">
        <w:t xml:space="preserve">Nearly a decade since the inception of Pre-ETS under the WIOA, it is imperative to reflect on the program's evolution and address the challenges hindering effectiveness. </w:t>
      </w:r>
      <w:r w:rsidRPr="0066786F">
        <w:t>Current issues and challenges include 1) unintended consequences of the 15% set aside, 2) complexities caused by the introduction of P</w:t>
      </w:r>
      <w:r>
        <w:t>E</w:t>
      </w:r>
      <w:r w:rsidRPr="0066786F">
        <w:t xml:space="preserve"> status, and 3) the limitations placed on what services can be provided under </w:t>
      </w:r>
      <w:proofErr w:type="gramStart"/>
      <w:r w:rsidRPr="0066786F">
        <w:t>Pre-ETS</w:t>
      </w:r>
      <w:proofErr w:type="gramEnd"/>
      <w:r w:rsidRPr="0066786F">
        <w:t xml:space="preserve">. </w:t>
      </w:r>
      <w:r w:rsidRPr="002F3756">
        <w:t xml:space="preserve">While WIOA envisioned </w:t>
      </w:r>
      <w:proofErr w:type="gramStart"/>
      <w:r w:rsidRPr="002F3756">
        <w:t>Pre-ETS</w:t>
      </w:r>
      <w:proofErr w:type="gramEnd"/>
      <w:r w:rsidRPr="002F3756">
        <w:t xml:space="preserve"> as a transformative gateway for </w:t>
      </w:r>
      <w:r>
        <w:t>YWD</w:t>
      </w:r>
      <w:r w:rsidRPr="002F3756">
        <w:t>, the</w:t>
      </w:r>
      <w:r>
        <w:t>se</w:t>
      </w:r>
      <w:r w:rsidRPr="002F3756">
        <w:t xml:space="preserve"> are pressing issues that necessitate thoughtful consideration and reform.</w:t>
      </w:r>
      <w:r>
        <w:t xml:space="preserve"> </w:t>
      </w:r>
      <w:r w:rsidRPr="002F3756">
        <w:t>The fundamental question remains: are the</w:t>
      </w:r>
      <w:r>
        <w:t xml:space="preserve"> five </w:t>
      </w:r>
      <w:proofErr w:type="gramStart"/>
      <w:r>
        <w:t>Pre-ETS</w:t>
      </w:r>
      <w:proofErr w:type="gramEnd"/>
      <w:r w:rsidRPr="002F3756">
        <w:t xml:space="preserve"> services achieving their intended purpose for </w:t>
      </w:r>
      <w:r>
        <w:t>YWD</w:t>
      </w:r>
      <w:r w:rsidRPr="002F3756">
        <w:t>?</w:t>
      </w:r>
    </w:p>
    <w:p w14:paraId="7BA55851" w14:textId="77777777" w:rsidR="007D3EAE" w:rsidRPr="001810E0" w:rsidRDefault="007D3EAE" w:rsidP="007D3EAE">
      <w:pPr>
        <w:ind w:firstLine="720"/>
      </w:pPr>
      <w:r>
        <w:t>In summary, t</w:t>
      </w:r>
      <w:r w:rsidRPr="002F3756">
        <w:t xml:space="preserve">he predominant reliance on the 15% set aside as the sole evaluative component has inadvertently shifted the focus of state agencies from effective service delivery to meeting expenditure expectations. The current framework encourages states to </w:t>
      </w:r>
      <w:proofErr w:type="gramStart"/>
      <w:r w:rsidRPr="002F3756">
        <w:t>expend</w:t>
      </w:r>
      <w:proofErr w:type="gramEnd"/>
      <w:r w:rsidRPr="002F3756">
        <w:t xml:space="preserve"> reserves narrowly, potentially limiting the reach of services to a fraction of </w:t>
      </w:r>
      <w:r>
        <w:t>SWD</w:t>
      </w:r>
      <w:r w:rsidRPr="002F3756">
        <w:t xml:space="preserve">. The lack of standardized processes, curricula, and structured approaches further contributes to inconsistencies in service delivery, hindering the establishment of a cohesive and universally </w:t>
      </w:r>
      <w:r w:rsidRPr="001810E0">
        <w:t xml:space="preserve">effective </w:t>
      </w:r>
      <w:proofErr w:type="gramStart"/>
      <w:r w:rsidRPr="001810E0">
        <w:t>Pre-ETS</w:t>
      </w:r>
      <w:proofErr w:type="gramEnd"/>
      <w:r w:rsidRPr="001810E0">
        <w:t xml:space="preserve"> framework. Such narrow frameworks have led to some states misusing funds on things other than what was intended, as pointed out by Senator Harkin. It has caused an unintended reaction as states prioritize spending at least 15% of the set-aside. </w:t>
      </w:r>
    </w:p>
    <w:p w14:paraId="113A1723" w14:textId="77777777" w:rsidR="007D3EAE" w:rsidRPr="002F3756" w:rsidRDefault="007D3EAE" w:rsidP="007D3EAE">
      <w:pPr>
        <w:ind w:firstLine="720"/>
      </w:pPr>
      <w:r w:rsidRPr="002F3756">
        <w:t xml:space="preserve">The introduction of PE status for students receiving </w:t>
      </w:r>
      <w:proofErr w:type="gramStart"/>
      <w:r w:rsidRPr="002F3756">
        <w:t>Pre-ETS</w:t>
      </w:r>
      <w:proofErr w:type="gramEnd"/>
      <w:r w:rsidRPr="002F3756">
        <w:t xml:space="preserve"> has added layers of complexity. While intended to expedite service delivery, the transition to VR services can be prolonged, delaying crucial support for students. Striking a balance between encouraging application and avoiding barriers to participation is vital.</w:t>
      </w:r>
      <w:r>
        <w:t xml:space="preserve"> </w:t>
      </w:r>
      <w:r w:rsidRPr="002F3756">
        <w:t xml:space="preserve">The limitation of </w:t>
      </w:r>
      <w:proofErr w:type="gramStart"/>
      <w:r w:rsidRPr="002F3756">
        <w:t>Pre-ETS</w:t>
      </w:r>
      <w:proofErr w:type="gramEnd"/>
      <w:r w:rsidRPr="002F3756">
        <w:t xml:space="preserve"> to the five required and four coordinated services, as outlined in WIOA, poses challenges. A narrow focus on early aspects of career preparation may not adequately address students’ diverse needs and interests. Recognizing the importance of general and pre-employment transition services for </w:t>
      </w:r>
      <w:r>
        <w:t>YWD</w:t>
      </w:r>
      <w:r w:rsidRPr="002F3756">
        <w:t xml:space="preserve"> who may not be enrolled in recognized educational programs is crucial.</w:t>
      </w:r>
    </w:p>
    <w:p w14:paraId="7C9648FE" w14:textId="77777777" w:rsidR="007D3EAE" w:rsidRPr="002F3756" w:rsidRDefault="007D3EAE" w:rsidP="007D3EAE">
      <w:pPr>
        <w:ind w:firstLine="720"/>
      </w:pPr>
      <w:r>
        <w:t>In conclusion, t</w:t>
      </w:r>
      <w:r w:rsidRPr="002F3756">
        <w:t xml:space="preserve">he time has come to reassess, reform, and ensure that the program aligns with </w:t>
      </w:r>
      <w:r>
        <w:t>the</w:t>
      </w:r>
      <w:r w:rsidRPr="002F3756">
        <w:t xml:space="preserve"> original vision—a transformative force fostering the holistic development and success of </w:t>
      </w:r>
      <w:r>
        <w:t>YWD</w:t>
      </w:r>
      <w:r w:rsidRPr="002F3756">
        <w:t xml:space="preserve"> nationwide.</w:t>
      </w:r>
      <w:r>
        <w:t xml:space="preserve"> This can be achieved by implementing new program measures, establishing a universal </w:t>
      </w:r>
      <w:proofErr w:type="gramStart"/>
      <w:r>
        <w:t>Pre-ETS</w:t>
      </w:r>
      <w:proofErr w:type="gramEnd"/>
      <w:r>
        <w:t xml:space="preserve"> framework, expanding eligibility, and allowing for greater spending flexibility. Bringing these recommendations to fruition will help allow </w:t>
      </w:r>
      <w:proofErr w:type="gramStart"/>
      <w:r>
        <w:t>Pre-ETS</w:t>
      </w:r>
      <w:proofErr w:type="gramEnd"/>
      <w:r>
        <w:t xml:space="preserve"> to effectively support students and youth with disabilities as they work towards individualized employment goals.</w:t>
      </w:r>
    </w:p>
    <w:p w14:paraId="614CD787" w14:textId="2868B77D" w:rsidR="0008349F" w:rsidRPr="00D52638" w:rsidRDefault="0008349F" w:rsidP="007D3EAE"/>
    <w:sectPr w:rsidR="0008349F" w:rsidRPr="00D52638" w:rsidSect="00FA6343">
      <w:footerReference w:type="default" r:id="rId8"/>
      <w:pgSz w:w="12240" w:h="15840" w:code="1"/>
      <w:pgMar w:top="576" w:right="720" w:bottom="245" w:left="864"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90E4" w14:textId="77777777" w:rsidR="00FA6343" w:rsidRDefault="00FA6343">
      <w:r>
        <w:separator/>
      </w:r>
    </w:p>
  </w:endnote>
  <w:endnote w:type="continuationSeparator" w:id="0">
    <w:p w14:paraId="69CAA7F8" w14:textId="77777777" w:rsidR="00FA6343" w:rsidRDefault="00FA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C7A" w14:textId="77777777" w:rsidR="00D75384" w:rsidRDefault="00CB5150" w:rsidP="001C6269">
    <w:pPr>
      <w:spacing w:line="288" w:lineRule="auto"/>
      <w:jc w:val="distribute"/>
      <w:rPr>
        <w:rFonts w:ascii="Palatino Linotype" w:hAnsi="Palatino Linotype"/>
        <w:spacing w:val="2"/>
        <w:sz w:val="10"/>
        <w:szCs w:val="10"/>
      </w:rPr>
    </w:pPr>
    <w:r w:rsidRPr="00D75384">
      <w:rPr>
        <w:rFonts w:ascii="Palatino Linotype" w:hAnsi="Palatino Linotype"/>
        <w:b/>
        <w:bCs/>
        <w:sz w:val="10"/>
        <w:szCs w:val="10"/>
      </w:rPr>
      <w:t>THE CALIFORNIA STATE UNIVERSITY</w:t>
    </w:r>
    <w:r w:rsidRPr="00D75384">
      <w:rPr>
        <w:rFonts w:ascii="Palatino Linotype" w:hAnsi="Palatino Linotype"/>
        <w:b/>
        <w:bCs/>
        <w:spacing w:val="-4"/>
        <w:sz w:val="10"/>
        <w:szCs w:val="10"/>
      </w:rPr>
      <w:t xml:space="preserve">  </w:t>
    </w:r>
    <w:r w:rsidRPr="00D75384">
      <w:rPr>
        <w:rFonts w:ascii="Palatino Linotype" w:hAnsi="Palatino Linotype"/>
        <w:b/>
        <w:bCs/>
        <w:spacing w:val="-4"/>
        <w:sz w:val="10"/>
        <w:szCs w:val="10"/>
      </w:rPr>
      <w:sym w:font="Wingdings 2" w:char="F0AB"/>
    </w:r>
    <w:r w:rsidRPr="00D75384">
      <w:rPr>
        <w:rFonts w:ascii="Palatino Linotype" w:hAnsi="Palatino Linotype"/>
        <w:b/>
        <w:bCs/>
        <w:spacing w:val="-4"/>
        <w:sz w:val="10"/>
        <w:szCs w:val="10"/>
      </w:rPr>
      <w:t xml:space="preserve">  </w:t>
    </w:r>
    <w:r w:rsidRPr="00D75384">
      <w:rPr>
        <w:rFonts w:ascii="Palatino Linotype" w:hAnsi="Palatino Linotype"/>
        <w:spacing w:val="2"/>
        <w:sz w:val="10"/>
        <w:szCs w:val="10"/>
      </w:rPr>
      <w:t xml:space="preserve">BAKERSFIELD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CHANNEL ISLANDS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CHICO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DOMINGUEZ HILLS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w:t>
    </w:r>
    <w:r w:rsidR="00D75384" w:rsidRPr="00D75384">
      <w:rPr>
        <w:rFonts w:ascii="Palatino Linotype" w:hAnsi="Palatino Linotype"/>
        <w:spacing w:val="2"/>
        <w:sz w:val="10"/>
        <w:szCs w:val="10"/>
      </w:rPr>
      <w:t xml:space="preserve">EAST BAY  </w:t>
    </w:r>
    <w:r w:rsidR="00D75384" w:rsidRPr="00D75384">
      <w:rPr>
        <w:rFonts w:ascii="Palatino Linotype" w:hAnsi="Palatino Linotype"/>
        <w:spacing w:val="2"/>
        <w:sz w:val="10"/>
        <w:szCs w:val="10"/>
      </w:rPr>
      <w:sym w:font="Wingdings 2" w:char="F0AB"/>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FRESNO</w:t>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 xml:space="preserve">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FULLERTON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HUMBOLDT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LONG BEACH </w:t>
    </w:r>
    <w:r w:rsidRPr="00D75384">
      <w:rPr>
        <w:rFonts w:ascii="Palatino Linotype" w:hAnsi="Palatino Linotype"/>
        <w:spacing w:val="2"/>
        <w:sz w:val="10"/>
        <w:szCs w:val="10"/>
      </w:rPr>
      <w:sym w:font="Wingdings 2" w:char="F0AB"/>
    </w:r>
    <w:r w:rsidR="00D75384">
      <w:rPr>
        <w:rFonts w:ascii="Palatino Linotype" w:hAnsi="Palatino Linotype"/>
        <w:spacing w:val="2"/>
        <w:sz w:val="10"/>
        <w:szCs w:val="10"/>
      </w:rPr>
      <w:t xml:space="preserve">  LOS ANGELES</w:t>
    </w:r>
  </w:p>
  <w:p w14:paraId="10676822" w14:textId="77777777" w:rsidR="00CB5150" w:rsidRPr="00D75384" w:rsidRDefault="00CB5150" w:rsidP="001C6269">
    <w:pPr>
      <w:spacing w:line="288" w:lineRule="auto"/>
      <w:jc w:val="distribute"/>
      <w:rPr>
        <w:rFonts w:ascii="Palatino Linotype" w:hAnsi="Palatino Linotype"/>
        <w:spacing w:val="-4"/>
        <w:sz w:val="10"/>
        <w:szCs w:val="10"/>
      </w:rPr>
    </w:pPr>
    <w:r w:rsidRPr="00D75384">
      <w:rPr>
        <w:rFonts w:ascii="Palatino Linotype" w:hAnsi="Palatino Linotype"/>
        <w:spacing w:val="-4"/>
        <w:sz w:val="10"/>
        <w:szCs w:val="10"/>
      </w:rPr>
      <w:t xml:space="preserve">MARITIME ACADEMY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MONTEREY  BAY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NORTHRIDGE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POMONA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SACRAMENTO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BERNADINO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DIEGO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FRANCISICO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JOSE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LUIS OBISPO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MARCO S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SONOM 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5BB0" w14:textId="77777777" w:rsidR="00FA6343" w:rsidRDefault="00FA6343">
      <w:r>
        <w:separator/>
      </w:r>
    </w:p>
  </w:footnote>
  <w:footnote w:type="continuationSeparator" w:id="0">
    <w:p w14:paraId="2F3FD547" w14:textId="77777777" w:rsidR="00FA6343" w:rsidRDefault="00FA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22F"/>
    <w:multiLevelType w:val="hybridMultilevel"/>
    <w:tmpl w:val="19E00EA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136C2D"/>
    <w:multiLevelType w:val="hybridMultilevel"/>
    <w:tmpl w:val="82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24417"/>
    <w:multiLevelType w:val="hybridMultilevel"/>
    <w:tmpl w:val="BA9C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63BAA"/>
    <w:multiLevelType w:val="hybridMultilevel"/>
    <w:tmpl w:val="694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D0F20"/>
    <w:multiLevelType w:val="hybridMultilevel"/>
    <w:tmpl w:val="C2B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A1575"/>
    <w:multiLevelType w:val="hybridMultilevel"/>
    <w:tmpl w:val="5062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772984">
    <w:abstractNumId w:val="0"/>
  </w:num>
  <w:num w:numId="2" w16cid:durableId="1690791438">
    <w:abstractNumId w:val="2"/>
  </w:num>
  <w:num w:numId="3" w16cid:durableId="29494361">
    <w:abstractNumId w:val="4"/>
  </w:num>
  <w:num w:numId="4" w16cid:durableId="1013067507">
    <w:abstractNumId w:val="3"/>
  </w:num>
  <w:num w:numId="5" w16cid:durableId="428048112">
    <w:abstractNumId w:val="1"/>
  </w:num>
  <w:num w:numId="6" w16cid:durableId="35542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59"/>
    <w:rsid w:val="0008349F"/>
    <w:rsid w:val="00094759"/>
    <w:rsid w:val="000D33A9"/>
    <w:rsid w:val="000F7ACD"/>
    <w:rsid w:val="00185BE4"/>
    <w:rsid w:val="001C6269"/>
    <w:rsid w:val="001E15A0"/>
    <w:rsid w:val="001E74A3"/>
    <w:rsid w:val="00212E76"/>
    <w:rsid w:val="002307FD"/>
    <w:rsid w:val="0023139B"/>
    <w:rsid w:val="0027044F"/>
    <w:rsid w:val="002E7C8B"/>
    <w:rsid w:val="00345E5C"/>
    <w:rsid w:val="00427E7B"/>
    <w:rsid w:val="00465082"/>
    <w:rsid w:val="004A6DB3"/>
    <w:rsid w:val="005440DE"/>
    <w:rsid w:val="00553C29"/>
    <w:rsid w:val="006C0D4F"/>
    <w:rsid w:val="006D0626"/>
    <w:rsid w:val="0070177E"/>
    <w:rsid w:val="007377F0"/>
    <w:rsid w:val="007432DB"/>
    <w:rsid w:val="007A1D9C"/>
    <w:rsid w:val="007C4635"/>
    <w:rsid w:val="007D3EAE"/>
    <w:rsid w:val="00816802"/>
    <w:rsid w:val="0089419A"/>
    <w:rsid w:val="00955CFE"/>
    <w:rsid w:val="009706F8"/>
    <w:rsid w:val="009D5886"/>
    <w:rsid w:val="00A03D10"/>
    <w:rsid w:val="00B60253"/>
    <w:rsid w:val="00B816FD"/>
    <w:rsid w:val="00B833C5"/>
    <w:rsid w:val="00B85B63"/>
    <w:rsid w:val="00CA5FDC"/>
    <w:rsid w:val="00CB48AB"/>
    <w:rsid w:val="00CB5150"/>
    <w:rsid w:val="00D4133E"/>
    <w:rsid w:val="00D52638"/>
    <w:rsid w:val="00D64ED3"/>
    <w:rsid w:val="00D75384"/>
    <w:rsid w:val="00ED4FDA"/>
    <w:rsid w:val="00F812B0"/>
    <w:rsid w:val="00FA6343"/>
    <w:rsid w:val="00FC64EE"/>
    <w:rsid w:val="00FD1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455A"/>
  <w15:docId w15:val="{C29E45E5-A6A2-41FB-AF29-8BBA1EA1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link w:val="Heading3Char"/>
    <w:qFormat/>
    <w:pPr>
      <w:keepNext/>
      <w:jc w:val="both"/>
      <w:outlineLvl w:val="2"/>
    </w:pPr>
    <w:rPr>
      <w:b/>
      <w:bCs/>
      <w:sz w:val="16"/>
    </w:rPr>
  </w:style>
  <w:style w:type="paragraph" w:styleId="Heading4">
    <w:name w:val="heading 4"/>
    <w:basedOn w:val="Normal"/>
    <w:next w:val="Normal"/>
    <w:link w:val="Heading4Char"/>
    <w:semiHidden/>
    <w:unhideWhenUsed/>
    <w:qFormat/>
    <w:rsid w:val="00230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Salutation">
    <w:name w:val="Salutation"/>
    <w:basedOn w:val="Normal"/>
    <w:next w:val="Normal"/>
    <w:rsid w:val="0027044F"/>
    <w:pPr>
      <w:spacing w:before="240" w:after="240" w:line="240" w:lineRule="atLeast"/>
    </w:pPr>
    <w:rPr>
      <w:rFonts w:ascii="Garamond" w:eastAsia="MS Mincho" w:hAnsi="Garamond"/>
      <w:kern w:val="18"/>
      <w:sz w:val="20"/>
      <w:szCs w:val="20"/>
    </w:rPr>
  </w:style>
  <w:style w:type="paragraph" w:styleId="BodyText">
    <w:name w:val="Body Text"/>
    <w:basedOn w:val="Normal"/>
    <w:rsid w:val="0027044F"/>
    <w:pPr>
      <w:spacing w:after="240" w:line="240" w:lineRule="atLeast"/>
      <w:jc w:val="both"/>
    </w:pPr>
    <w:rPr>
      <w:rFonts w:ascii="Garamond" w:eastAsia="MS Mincho" w:hAnsi="Garamond"/>
      <w:kern w:val="18"/>
      <w:sz w:val="20"/>
      <w:szCs w:val="20"/>
    </w:rPr>
  </w:style>
  <w:style w:type="paragraph" w:styleId="Closing">
    <w:name w:val="Closing"/>
    <w:basedOn w:val="Normal"/>
    <w:next w:val="Signature"/>
    <w:rsid w:val="0027044F"/>
    <w:pPr>
      <w:keepNext/>
      <w:spacing w:after="120" w:line="240" w:lineRule="atLeast"/>
      <w:jc w:val="both"/>
    </w:pPr>
    <w:rPr>
      <w:rFonts w:ascii="Garamond" w:eastAsia="MS Mincho" w:hAnsi="Garamond"/>
      <w:kern w:val="18"/>
      <w:sz w:val="20"/>
      <w:szCs w:val="20"/>
    </w:rPr>
  </w:style>
  <w:style w:type="paragraph" w:styleId="Signature">
    <w:name w:val="Signature"/>
    <w:basedOn w:val="Normal"/>
    <w:next w:val="SignatureJobTitle"/>
    <w:rsid w:val="0027044F"/>
    <w:pPr>
      <w:keepNext/>
      <w:spacing w:before="880" w:line="240" w:lineRule="atLeast"/>
    </w:pPr>
    <w:rPr>
      <w:rFonts w:ascii="Garamond" w:eastAsia="MS Mincho" w:hAnsi="Garamond"/>
      <w:kern w:val="18"/>
      <w:sz w:val="20"/>
      <w:szCs w:val="20"/>
    </w:rPr>
  </w:style>
  <w:style w:type="paragraph" w:styleId="Date">
    <w:name w:val="Date"/>
    <w:basedOn w:val="Normal"/>
    <w:next w:val="Normal"/>
    <w:rsid w:val="0027044F"/>
    <w:pPr>
      <w:spacing w:after="220"/>
      <w:jc w:val="both"/>
    </w:pPr>
    <w:rPr>
      <w:rFonts w:ascii="Garamond" w:eastAsia="MS Mincho" w:hAnsi="Garamond"/>
      <w:kern w:val="18"/>
      <w:sz w:val="20"/>
      <w:szCs w:val="20"/>
    </w:rPr>
  </w:style>
  <w:style w:type="paragraph" w:customStyle="1" w:styleId="InsideAddress">
    <w:name w:val="Inside Address"/>
    <w:basedOn w:val="Normal"/>
    <w:rsid w:val="0027044F"/>
    <w:pPr>
      <w:spacing w:line="240" w:lineRule="atLeast"/>
      <w:jc w:val="both"/>
    </w:pPr>
    <w:rPr>
      <w:rFonts w:ascii="Garamond" w:eastAsia="MS Mincho" w:hAnsi="Garamond"/>
      <w:kern w:val="18"/>
      <w:sz w:val="20"/>
      <w:szCs w:val="20"/>
    </w:rPr>
  </w:style>
  <w:style w:type="paragraph" w:customStyle="1" w:styleId="ReferenceLine">
    <w:name w:val="Reference Line"/>
    <w:basedOn w:val="Normal"/>
    <w:next w:val="Normal"/>
    <w:rsid w:val="0027044F"/>
    <w:pPr>
      <w:keepNext/>
      <w:spacing w:after="240" w:line="240" w:lineRule="atLeast"/>
    </w:pPr>
    <w:rPr>
      <w:rFonts w:ascii="Garamond" w:eastAsia="MS Mincho" w:hAnsi="Garamond"/>
      <w:kern w:val="18"/>
      <w:sz w:val="20"/>
      <w:szCs w:val="20"/>
    </w:rPr>
  </w:style>
  <w:style w:type="paragraph" w:customStyle="1" w:styleId="SignatureJobTitle">
    <w:name w:val="Signature Job Title"/>
    <w:basedOn w:val="Signature"/>
    <w:next w:val="Normal"/>
    <w:rsid w:val="0027044F"/>
    <w:pPr>
      <w:spacing w:before="0"/>
    </w:pPr>
  </w:style>
  <w:style w:type="character" w:customStyle="1" w:styleId="Heading4Char">
    <w:name w:val="Heading 4 Char"/>
    <w:basedOn w:val="DefaultParagraphFont"/>
    <w:link w:val="Heading4"/>
    <w:semiHidden/>
    <w:rsid w:val="002307FD"/>
    <w:rPr>
      <w:rFonts w:asciiTheme="majorHAnsi" w:eastAsiaTheme="majorEastAsia" w:hAnsiTheme="majorHAnsi" w:cstheme="majorBidi"/>
      <w:i/>
      <w:iCs/>
      <w:color w:val="365F91" w:themeColor="accent1" w:themeShade="BF"/>
      <w:sz w:val="24"/>
      <w:szCs w:val="24"/>
      <w:lang w:eastAsia="en-US"/>
    </w:rPr>
  </w:style>
  <w:style w:type="paragraph" w:customStyle="1" w:styleId="rtecenter">
    <w:name w:val="rtecenter"/>
    <w:basedOn w:val="Normal"/>
    <w:rsid w:val="002307FD"/>
    <w:pPr>
      <w:spacing w:before="100" w:beforeAutospacing="1" w:after="100" w:afterAutospacing="1"/>
    </w:pPr>
  </w:style>
  <w:style w:type="character" w:styleId="Strong">
    <w:name w:val="Strong"/>
    <w:basedOn w:val="DefaultParagraphFont"/>
    <w:uiPriority w:val="22"/>
    <w:qFormat/>
    <w:rsid w:val="002307FD"/>
    <w:rPr>
      <w:b/>
      <w:bCs/>
    </w:rPr>
  </w:style>
  <w:style w:type="paragraph" w:styleId="NormalWeb">
    <w:name w:val="Normal (Web)"/>
    <w:basedOn w:val="Normal"/>
    <w:uiPriority w:val="99"/>
    <w:semiHidden/>
    <w:unhideWhenUsed/>
    <w:rsid w:val="002307FD"/>
    <w:pPr>
      <w:spacing w:before="100" w:beforeAutospacing="1" w:after="100" w:afterAutospacing="1"/>
    </w:pPr>
  </w:style>
  <w:style w:type="paragraph" w:styleId="ListParagraph">
    <w:name w:val="List Paragraph"/>
    <w:basedOn w:val="Normal"/>
    <w:uiPriority w:val="34"/>
    <w:qFormat/>
    <w:rsid w:val="006C0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6C0D4F"/>
    <w:rPr>
      <w:rFonts w:asciiTheme="minorHAnsi" w:eastAsiaTheme="minorHAnsi"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rsid w:val="00465082"/>
    <w:rPr>
      <w:b/>
      <w:bCs/>
      <w:sz w:val="24"/>
      <w:szCs w:val="24"/>
      <w:lang w:eastAsia="en-US"/>
    </w:rPr>
  </w:style>
  <w:style w:type="character" w:customStyle="1" w:styleId="Heading3Char">
    <w:name w:val="Heading 3 Char"/>
    <w:basedOn w:val="DefaultParagraphFont"/>
    <w:link w:val="Heading3"/>
    <w:rsid w:val="00465082"/>
    <w:rPr>
      <w:b/>
      <w:b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231">
      <w:bodyDiv w:val="1"/>
      <w:marLeft w:val="0"/>
      <w:marRight w:val="0"/>
      <w:marTop w:val="0"/>
      <w:marBottom w:val="0"/>
      <w:divBdr>
        <w:top w:val="none" w:sz="0" w:space="0" w:color="auto"/>
        <w:left w:val="none" w:sz="0" w:space="0" w:color="auto"/>
        <w:bottom w:val="none" w:sz="0" w:space="0" w:color="auto"/>
        <w:right w:val="none" w:sz="0" w:space="0" w:color="auto"/>
      </w:divBdr>
    </w:div>
    <w:div w:id="18162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Rehabilitation Counseling</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Scharringhausen</dc:creator>
  <cp:lastModifiedBy>Minah Oh</cp:lastModifiedBy>
  <cp:revision>2</cp:revision>
  <cp:lastPrinted>2012-07-12T21:56:00Z</cp:lastPrinted>
  <dcterms:created xsi:type="dcterms:W3CDTF">2024-03-20T15:42:00Z</dcterms:created>
  <dcterms:modified xsi:type="dcterms:W3CDTF">2024-03-20T15:42:00Z</dcterms:modified>
</cp:coreProperties>
</file>